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597" w:rsidRPr="00D11597" w:rsidRDefault="00D11597" w:rsidP="00D11597">
      <w:pPr>
        <w:tabs>
          <w:tab w:val="num" w:pos="0"/>
          <w:tab w:val="left" w:pos="709"/>
        </w:tabs>
        <w:spacing w:line="360" w:lineRule="auto"/>
        <w:ind w:firstLine="567"/>
        <w:jc w:val="both"/>
        <w:rPr>
          <w:b/>
          <w:szCs w:val="28"/>
          <w:lang w:val="uk-UA"/>
        </w:rPr>
      </w:pPr>
      <w:r w:rsidRPr="00D11597">
        <w:rPr>
          <w:b/>
          <w:szCs w:val="28"/>
          <w:lang w:val="uk-UA"/>
        </w:rPr>
        <w:t>УДК</w:t>
      </w:r>
      <w:r w:rsidRPr="00D11597">
        <w:rPr>
          <w:szCs w:val="28"/>
          <w:lang w:val="uk-UA"/>
        </w:rPr>
        <w:t xml:space="preserve"> </w:t>
      </w:r>
      <w:r w:rsidRPr="00D11597">
        <w:rPr>
          <w:b/>
          <w:szCs w:val="28"/>
          <w:lang w:val="uk-UA"/>
        </w:rPr>
        <w:t>811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b/>
          <w:szCs w:val="28"/>
          <w:lang w:eastAsia="en-US"/>
        </w:rPr>
      </w:pPr>
      <w:proofErr w:type="spellStart"/>
      <w:r w:rsidRPr="00D11597">
        <w:rPr>
          <w:rFonts w:eastAsiaTheme="minorHAnsi"/>
          <w:b/>
          <w:szCs w:val="28"/>
          <w:lang w:val="uk-UA" w:eastAsia="en-US"/>
        </w:rPr>
        <w:t>Соленік</w:t>
      </w:r>
      <w:proofErr w:type="spellEnd"/>
      <w:r w:rsidRPr="00D11597">
        <w:rPr>
          <w:rFonts w:eastAsiaTheme="minorHAnsi"/>
          <w:b/>
          <w:szCs w:val="28"/>
          <w:lang w:val="uk-UA" w:eastAsia="en-US"/>
        </w:rPr>
        <w:t xml:space="preserve"> Карина Русланівна, 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szCs w:val="28"/>
          <w:lang w:val="uk-UA" w:eastAsia="en-US"/>
        </w:rPr>
      </w:pPr>
      <w:r w:rsidRPr="00D11597">
        <w:rPr>
          <w:rFonts w:eastAsiaTheme="minorHAnsi"/>
          <w:szCs w:val="28"/>
          <w:lang w:val="uk-UA" w:eastAsia="en-US"/>
        </w:rPr>
        <w:t xml:space="preserve">студентка 21-У групи 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szCs w:val="28"/>
          <w:lang w:val="uk-UA" w:eastAsia="en-US"/>
        </w:rPr>
      </w:pPr>
      <w:r w:rsidRPr="00D11597">
        <w:rPr>
          <w:rFonts w:eastAsiaTheme="minorHAnsi"/>
          <w:szCs w:val="28"/>
          <w:lang w:val="uk-UA" w:eastAsia="en-US"/>
        </w:rPr>
        <w:t>факультету філології та історії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b/>
          <w:szCs w:val="28"/>
          <w:lang w:val="uk-UA" w:eastAsia="en-US"/>
        </w:rPr>
      </w:pPr>
      <w:r w:rsidRPr="00D11597">
        <w:rPr>
          <w:rFonts w:eastAsiaTheme="minorHAnsi"/>
          <w:b/>
          <w:szCs w:val="28"/>
          <w:lang w:val="uk-UA" w:eastAsia="en-US"/>
        </w:rPr>
        <w:t>Науковий керівник: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b/>
          <w:szCs w:val="28"/>
          <w:lang w:val="uk-UA" w:eastAsia="en-US"/>
        </w:rPr>
      </w:pPr>
      <w:proofErr w:type="spellStart"/>
      <w:r w:rsidRPr="00D11597">
        <w:rPr>
          <w:rFonts w:eastAsiaTheme="minorHAnsi"/>
          <w:b/>
          <w:szCs w:val="28"/>
          <w:lang w:val="uk-UA" w:eastAsia="en-US"/>
        </w:rPr>
        <w:t>Цінько</w:t>
      </w:r>
      <w:proofErr w:type="spellEnd"/>
      <w:r w:rsidRPr="00D11597">
        <w:rPr>
          <w:rFonts w:eastAsiaTheme="minorHAnsi"/>
          <w:b/>
          <w:szCs w:val="28"/>
          <w:lang w:val="uk-UA" w:eastAsia="en-US"/>
        </w:rPr>
        <w:t xml:space="preserve"> Світлана Василівна, 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szCs w:val="28"/>
          <w:lang w:val="uk-UA" w:eastAsia="en-US"/>
        </w:rPr>
      </w:pPr>
      <w:proofErr w:type="spellStart"/>
      <w:r w:rsidRPr="00D11597">
        <w:rPr>
          <w:rFonts w:eastAsiaTheme="minorHAnsi"/>
          <w:szCs w:val="28"/>
          <w:lang w:val="uk-UA" w:eastAsia="en-US"/>
        </w:rPr>
        <w:t>к.пед.н</w:t>
      </w:r>
      <w:proofErr w:type="spellEnd"/>
      <w:r w:rsidRPr="00D11597">
        <w:rPr>
          <w:rFonts w:eastAsiaTheme="minorHAnsi"/>
          <w:szCs w:val="28"/>
          <w:lang w:val="uk-UA" w:eastAsia="en-US"/>
        </w:rPr>
        <w:t xml:space="preserve">., доц. кафедри української мови, </w:t>
      </w:r>
    </w:p>
    <w:p w:rsidR="00D11597" w:rsidRPr="00D11597" w:rsidRDefault="00D11597" w:rsidP="00D11597">
      <w:pPr>
        <w:spacing w:after="200" w:line="360" w:lineRule="auto"/>
        <w:ind w:left="720"/>
        <w:contextualSpacing/>
        <w:jc w:val="right"/>
        <w:rPr>
          <w:rFonts w:eastAsiaTheme="minorHAnsi"/>
          <w:szCs w:val="28"/>
          <w:lang w:val="uk-UA" w:eastAsia="en-US"/>
        </w:rPr>
      </w:pPr>
      <w:r w:rsidRPr="00D11597">
        <w:rPr>
          <w:rFonts w:eastAsiaTheme="minorHAnsi"/>
          <w:szCs w:val="28"/>
          <w:lang w:val="uk-UA" w:eastAsia="en-US"/>
        </w:rPr>
        <w:t xml:space="preserve">літератури та методики навчання ГНПУ ім. </w:t>
      </w:r>
      <w:proofErr w:type="spellStart"/>
      <w:r w:rsidRPr="00D11597">
        <w:rPr>
          <w:rFonts w:eastAsiaTheme="minorHAnsi"/>
          <w:szCs w:val="28"/>
          <w:lang w:val="uk-UA" w:eastAsia="en-US"/>
        </w:rPr>
        <w:t>О.Довженка</w:t>
      </w:r>
      <w:proofErr w:type="spellEnd"/>
      <w:r w:rsidRPr="00D11597">
        <w:rPr>
          <w:rFonts w:eastAsiaTheme="minorHAnsi"/>
          <w:szCs w:val="28"/>
          <w:lang w:val="uk-UA" w:eastAsia="en-US"/>
        </w:rPr>
        <w:t>,</w:t>
      </w:r>
    </w:p>
    <w:p w:rsidR="00D11597" w:rsidRDefault="00D11597" w:rsidP="00D11597">
      <w:pPr>
        <w:tabs>
          <w:tab w:val="left" w:pos="709"/>
        </w:tabs>
        <w:spacing w:line="360" w:lineRule="auto"/>
        <w:ind w:left="284" w:firstLine="425"/>
        <w:jc w:val="center"/>
        <w:rPr>
          <w:b/>
          <w:szCs w:val="28"/>
          <w:lang w:val="en-US"/>
        </w:rPr>
      </w:pPr>
    </w:p>
    <w:p w:rsidR="00D11597" w:rsidRPr="00D11597" w:rsidRDefault="00D11597" w:rsidP="00D11597">
      <w:pPr>
        <w:tabs>
          <w:tab w:val="left" w:pos="709"/>
        </w:tabs>
        <w:spacing w:line="360" w:lineRule="auto"/>
        <w:ind w:left="284" w:firstLine="425"/>
        <w:jc w:val="center"/>
        <w:rPr>
          <w:b/>
          <w:szCs w:val="28"/>
        </w:rPr>
      </w:pPr>
      <w:bookmarkStart w:id="0" w:name="_GoBack"/>
      <w:bookmarkEnd w:id="0"/>
      <w:r w:rsidRPr="00D11597">
        <w:rPr>
          <w:b/>
          <w:szCs w:val="28"/>
          <w:lang w:val="uk-UA"/>
        </w:rPr>
        <w:t>ПРИСУДОК ЯК ГОЛОВНИЙ ЧЛЕН РЕЧЕННЯ: ТЕОРЕТИЧНИЙ АСПЕКТ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left="284" w:firstLine="425"/>
        <w:rPr>
          <w:szCs w:val="28"/>
        </w:rPr>
      </w:pP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>У л</w:t>
      </w:r>
      <w:proofErr w:type="spellStart"/>
      <w:r w:rsidRPr="00D11597">
        <w:rPr>
          <w:szCs w:val="28"/>
        </w:rPr>
        <w:t>інгвістичн</w:t>
      </w:r>
      <w:r w:rsidRPr="00D11597">
        <w:rPr>
          <w:szCs w:val="28"/>
          <w:lang w:val="uk-UA"/>
        </w:rPr>
        <w:t>их</w:t>
      </w:r>
      <w:proofErr w:type="spellEnd"/>
      <w:r w:rsidRPr="00D11597">
        <w:rPr>
          <w:szCs w:val="28"/>
          <w:lang w:val="uk-UA"/>
        </w:rPr>
        <w:t xml:space="preserve"> дослідженнях</w:t>
      </w:r>
      <w:r w:rsidRPr="00D11597">
        <w:rPr>
          <w:szCs w:val="28"/>
        </w:rPr>
        <w:t xml:space="preserve"> </w:t>
      </w:r>
      <w:r w:rsidRPr="00D11597">
        <w:rPr>
          <w:szCs w:val="28"/>
          <w:lang w:val="uk-UA"/>
        </w:rPr>
        <w:t xml:space="preserve">зустрічаємо </w:t>
      </w:r>
      <w:proofErr w:type="spellStart"/>
      <w:r w:rsidRPr="00D11597">
        <w:rPr>
          <w:szCs w:val="28"/>
        </w:rPr>
        <w:t>різні</w:t>
      </w:r>
      <w:proofErr w:type="spellEnd"/>
      <w:r w:rsidRPr="00D11597">
        <w:rPr>
          <w:szCs w:val="28"/>
        </w:rPr>
        <w:t xml:space="preserve"> погляди на природу </w:t>
      </w:r>
      <w:proofErr w:type="spellStart"/>
      <w:r w:rsidRPr="00D11597">
        <w:rPr>
          <w:szCs w:val="28"/>
        </w:rPr>
        <w:t>головних</w:t>
      </w:r>
      <w:proofErr w:type="spellEnd"/>
      <w:r w:rsidRPr="00D11597">
        <w:rPr>
          <w:szCs w:val="28"/>
        </w:rPr>
        <w:t xml:space="preserve"> </w:t>
      </w:r>
      <w:proofErr w:type="spellStart"/>
      <w:r w:rsidRPr="00D11597">
        <w:rPr>
          <w:szCs w:val="28"/>
        </w:rPr>
        <w:t>членів</w:t>
      </w:r>
      <w:proofErr w:type="spellEnd"/>
      <w:r w:rsidRPr="00D11597">
        <w:rPr>
          <w:szCs w:val="28"/>
        </w:rPr>
        <w:t xml:space="preserve"> </w:t>
      </w:r>
      <w:proofErr w:type="spellStart"/>
      <w:r w:rsidRPr="00D11597">
        <w:rPr>
          <w:szCs w:val="28"/>
        </w:rPr>
        <w:t>речення</w:t>
      </w:r>
      <w:proofErr w:type="spellEnd"/>
      <w:r w:rsidRPr="00D11597">
        <w:rPr>
          <w:szCs w:val="28"/>
          <w:lang w:val="uk-UA"/>
        </w:rPr>
        <w:t>, зокрема присудка</w:t>
      </w:r>
      <w:r w:rsidRPr="00D11597">
        <w:rPr>
          <w:szCs w:val="28"/>
        </w:rPr>
        <w:t xml:space="preserve">. 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>Метою нашої розвідки є узагальнення й аналіз мовознавчих праць, присвячених дослідженню головних членів речення, зокрема поглядів лінгвістів на визначення присудка як головного члена речення.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>З метою узагальнення й аналізу різних визначень присудка ми</w:t>
      </w:r>
      <w:r w:rsidRPr="00D11597">
        <w:rPr>
          <w:szCs w:val="28"/>
        </w:rPr>
        <w:t xml:space="preserve"> </w:t>
      </w:r>
      <w:proofErr w:type="spellStart"/>
      <w:r w:rsidRPr="00D11597">
        <w:rPr>
          <w:szCs w:val="28"/>
        </w:rPr>
        <w:t>спира</w:t>
      </w:r>
      <w:proofErr w:type="spellEnd"/>
      <w:r w:rsidRPr="00D11597">
        <w:rPr>
          <w:szCs w:val="28"/>
          <w:lang w:val="uk-UA"/>
        </w:rPr>
        <w:t>л</w:t>
      </w:r>
      <w:proofErr w:type="spellStart"/>
      <w:r w:rsidRPr="00D11597">
        <w:rPr>
          <w:szCs w:val="28"/>
        </w:rPr>
        <w:t>ися</w:t>
      </w:r>
      <w:proofErr w:type="spellEnd"/>
      <w:r w:rsidRPr="00D11597">
        <w:rPr>
          <w:szCs w:val="28"/>
        </w:rPr>
        <w:t xml:space="preserve"> на </w:t>
      </w:r>
      <w:proofErr w:type="spellStart"/>
      <w:r w:rsidRPr="00D11597">
        <w:rPr>
          <w:szCs w:val="28"/>
        </w:rPr>
        <w:t>результати</w:t>
      </w:r>
      <w:proofErr w:type="spellEnd"/>
      <w:r w:rsidRPr="00D11597">
        <w:rPr>
          <w:szCs w:val="28"/>
        </w:rPr>
        <w:t xml:space="preserve"> </w:t>
      </w:r>
      <w:proofErr w:type="spellStart"/>
      <w:r w:rsidRPr="00D11597">
        <w:rPr>
          <w:szCs w:val="28"/>
        </w:rPr>
        <w:t>досліджень</w:t>
      </w:r>
      <w:proofErr w:type="spellEnd"/>
      <w:r w:rsidRPr="00D11597">
        <w:rPr>
          <w:szCs w:val="28"/>
        </w:rPr>
        <w:t xml:space="preserve"> </w:t>
      </w:r>
      <w:proofErr w:type="spellStart"/>
      <w:r w:rsidRPr="00D11597">
        <w:rPr>
          <w:szCs w:val="28"/>
        </w:rPr>
        <w:t>мовознавців</w:t>
      </w:r>
      <w:proofErr w:type="spellEnd"/>
      <w:r w:rsidRPr="00D11597">
        <w:rPr>
          <w:szCs w:val="28"/>
        </w:rPr>
        <w:t xml:space="preserve"> ХІХ ст. – початку ХХІ ст. </w:t>
      </w:r>
      <w:r w:rsidRPr="00D11597">
        <w:rPr>
          <w:szCs w:val="28"/>
          <w:lang w:val="uk-UA"/>
        </w:rPr>
        <w:t xml:space="preserve"> 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У ХІХ столітті представниками логіко-граматичного напряму присудок визначався з логістичного погляду. Наприклад, К. Ф. </w:t>
      </w:r>
      <w:proofErr w:type="spellStart"/>
      <w:r w:rsidRPr="00D11597">
        <w:rPr>
          <w:szCs w:val="28"/>
          <w:lang w:val="uk-UA"/>
        </w:rPr>
        <w:t>Шульжук</w:t>
      </w:r>
      <w:proofErr w:type="spellEnd"/>
      <w:r w:rsidRPr="00D11597">
        <w:rPr>
          <w:szCs w:val="28"/>
          <w:lang w:val="uk-UA"/>
        </w:rPr>
        <w:t xml:space="preserve"> наводить визначення Ф. Буслаєва: «Те, що ми думаємо або судимо про предмет (про підмет), називається присудком» [5, с.75].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>Тривалий час у мовознавстві тривала дискусія про те, який із двох членів речення – підмет чи присудок – важливіший для його структури. І більшість лінгвістів схилялась до думки, що це підмет. І лише останнім часом усе частіше підтримується думка О. Потебні про те, що в граматичному розумінні присудок важливіший у структурі речення.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У сучасних підручниках ми знайшли такі визначення присудка. Н. Г. Шкуратяна, С. В. Шевчук у «Сучасній українській літературній мові» дають </w:t>
      </w:r>
      <w:r w:rsidRPr="00D11597">
        <w:rPr>
          <w:szCs w:val="28"/>
          <w:lang w:val="uk-UA"/>
        </w:rPr>
        <w:lastRenderedPageBreak/>
        <w:t>таке визначення присудка: «Присудком називається головний член речення, що означає дію, стан, якість, властивість предмета, позначуваного підметом» [4, с. 87].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М. Я. Плющ, С. П. </w:t>
      </w:r>
      <w:proofErr w:type="spellStart"/>
      <w:r w:rsidRPr="00D11597">
        <w:rPr>
          <w:szCs w:val="28"/>
          <w:lang w:val="uk-UA"/>
        </w:rPr>
        <w:t>Бевзенко</w:t>
      </w:r>
      <w:proofErr w:type="spellEnd"/>
      <w:r w:rsidRPr="00D11597">
        <w:rPr>
          <w:szCs w:val="28"/>
          <w:lang w:val="uk-UA"/>
        </w:rPr>
        <w:t xml:space="preserve"> та інші в підручнику «Сучасна українська літературна мова» так інтерпретують присудок: «Присудок – це головний член двоскладного речення, що виражає ознаку підмета. Присудок є носієм головної властивості речення – предикативності, він надає підмету модально-часової характеристики» [2, с. 318].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О. Д. Пономарів, В. В. </w:t>
      </w:r>
      <w:proofErr w:type="spellStart"/>
      <w:r w:rsidRPr="00D11597">
        <w:rPr>
          <w:szCs w:val="28"/>
          <w:lang w:val="uk-UA"/>
        </w:rPr>
        <w:t>Різун</w:t>
      </w:r>
      <w:proofErr w:type="spellEnd"/>
      <w:r w:rsidRPr="00D11597">
        <w:rPr>
          <w:szCs w:val="28"/>
          <w:lang w:val="uk-UA"/>
        </w:rPr>
        <w:t xml:space="preserve"> та інші в підручнику «Сучасна українська мова» так визначають присудок: «Присудок – головний член двоскладного речення, що означає дію. Стан або ознаку, котра приписується в реченні підметові. Відповідає на питання: що робить підмет? яким він є (був, буде)? ким (чим) він є (був, буде)?» [3, с.246].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«Присудок – головний член двоскладного речення, який, указуючи на модально-часову характеристику носія предикативної ознаки, перебуває в предикативному зв’язку з підметом», – зазначає К. Ф. </w:t>
      </w:r>
      <w:proofErr w:type="spellStart"/>
      <w:r w:rsidRPr="00D11597">
        <w:rPr>
          <w:szCs w:val="28"/>
          <w:lang w:val="uk-UA"/>
        </w:rPr>
        <w:t>Шульжук</w:t>
      </w:r>
      <w:proofErr w:type="spellEnd"/>
      <w:r w:rsidRPr="00D11597">
        <w:rPr>
          <w:szCs w:val="28"/>
          <w:lang w:val="uk-UA"/>
        </w:rPr>
        <w:t xml:space="preserve"> у підручнику «Синтаксис української мови» [5, с. 75].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«Виділення присудка як граматичної основи речення становить набагато складнішу проблему в обох відношеннях – семантичному й граматичному. Дослідження форм присудка в синтаксичній науці спирається на вітчизняну традицію і зосереджує велике коло проблем: про співвідношення логічних, логіко-граматичних і граматичних форм предиката-присудка, про морфологічні форми присудка, про комунікативний присудок як психолінгвістичну категорію, про </w:t>
      </w:r>
      <w:proofErr w:type="spellStart"/>
      <w:r w:rsidRPr="00D11597">
        <w:rPr>
          <w:szCs w:val="28"/>
          <w:lang w:val="uk-UA"/>
        </w:rPr>
        <w:t>класифікуючий</w:t>
      </w:r>
      <w:proofErr w:type="spellEnd"/>
      <w:r w:rsidRPr="00D11597">
        <w:rPr>
          <w:szCs w:val="28"/>
          <w:lang w:val="uk-UA"/>
        </w:rPr>
        <w:t xml:space="preserve"> присудок – ознаку типології речень повних – неповних, неповних – еліптичних, дієслівних – бездієслівних, врешті, про присудок із </w:t>
      </w:r>
      <w:proofErr w:type="spellStart"/>
      <w:r w:rsidRPr="00D11597">
        <w:rPr>
          <w:szCs w:val="28"/>
          <w:lang w:val="uk-UA"/>
        </w:rPr>
        <w:t>пропозиційною</w:t>
      </w:r>
      <w:proofErr w:type="spellEnd"/>
      <w:r w:rsidRPr="00D11597">
        <w:rPr>
          <w:szCs w:val="28"/>
          <w:lang w:val="uk-UA"/>
        </w:rPr>
        <w:t xml:space="preserve"> семантикою, що задає конфігурацію моделі речення і вирізняє його серед інших моделей мови», – наголошує </w:t>
      </w:r>
      <w:proofErr w:type="spellStart"/>
      <w:r w:rsidRPr="00D11597">
        <w:rPr>
          <w:szCs w:val="28"/>
          <w:lang w:val="uk-UA"/>
        </w:rPr>
        <w:t>Ю.Каморникова</w:t>
      </w:r>
      <w:proofErr w:type="spellEnd"/>
      <w:r w:rsidRPr="00D11597">
        <w:rPr>
          <w:szCs w:val="28"/>
          <w:lang w:val="uk-UA"/>
        </w:rPr>
        <w:t xml:space="preserve"> [1].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  <w:r w:rsidRPr="00D11597">
        <w:rPr>
          <w:szCs w:val="28"/>
          <w:lang w:val="uk-UA"/>
        </w:rPr>
        <w:t xml:space="preserve">Отже, у сучасних лінгвістичних працях підмет і присудок здебільшого перебувають на одному рівні значимості для структури речення. Однак </w:t>
      </w:r>
      <w:r w:rsidRPr="00D11597">
        <w:rPr>
          <w:szCs w:val="28"/>
          <w:lang w:val="uk-UA"/>
        </w:rPr>
        <w:lastRenderedPageBreak/>
        <w:t>залишається багато дискусійних питань, пов’язаних з інтерпретацією та роллю головних членів речення, які потребують розв’язання.</w:t>
      </w:r>
    </w:p>
    <w:p w:rsidR="00D11597" w:rsidRPr="00D11597" w:rsidRDefault="00D11597" w:rsidP="00D11597">
      <w:pPr>
        <w:tabs>
          <w:tab w:val="left" w:pos="709"/>
        </w:tabs>
        <w:spacing w:line="360" w:lineRule="auto"/>
        <w:ind w:firstLine="709"/>
        <w:jc w:val="both"/>
        <w:rPr>
          <w:szCs w:val="28"/>
          <w:lang w:val="uk-UA"/>
        </w:rPr>
      </w:pPr>
    </w:p>
    <w:p w:rsidR="00D11597" w:rsidRPr="00D11597" w:rsidRDefault="00D11597" w:rsidP="00D11597">
      <w:pPr>
        <w:shd w:val="clear" w:color="auto" w:fill="FFFFFF"/>
        <w:tabs>
          <w:tab w:val="num" w:pos="0"/>
          <w:tab w:val="left" w:pos="709"/>
        </w:tabs>
        <w:spacing w:line="360" w:lineRule="auto"/>
        <w:ind w:firstLine="567"/>
        <w:jc w:val="center"/>
        <w:rPr>
          <w:b/>
          <w:szCs w:val="28"/>
          <w:lang w:val="uk-UA"/>
        </w:rPr>
      </w:pPr>
      <w:r w:rsidRPr="00D11597">
        <w:rPr>
          <w:b/>
          <w:szCs w:val="28"/>
          <w:lang w:val="uk-UA"/>
        </w:rPr>
        <w:t>Література:</w:t>
      </w:r>
    </w:p>
    <w:p w:rsidR="00D11597" w:rsidRPr="00D11597" w:rsidRDefault="00D11597" w:rsidP="00D11597">
      <w:pPr>
        <w:numPr>
          <w:ilvl w:val="0"/>
          <w:numId w:val="13"/>
        </w:numPr>
        <w:shd w:val="clear" w:color="auto" w:fill="FFFFFF"/>
        <w:tabs>
          <w:tab w:val="num" w:pos="0"/>
          <w:tab w:val="left" w:pos="709"/>
        </w:tabs>
        <w:spacing w:after="200" w:line="360" w:lineRule="auto"/>
        <w:contextualSpacing/>
        <w:jc w:val="both"/>
        <w:rPr>
          <w:rFonts w:eastAsiaTheme="minorHAnsi" w:cstheme="minorBidi"/>
          <w:szCs w:val="28"/>
          <w:lang w:val="uk-UA" w:eastAsia="en-US"/>
        </w:rPr>
      </w:pPr>
      <w:proofErr w:type="spellStart"/>
      <w:r w:rsidRPr="00D11597">
        <w:rPr>
          <w:rFonts w:eastAsiaTheme="minorHAnsi" w:cstheme="minorBidi"/>
          <w:szCs w:val="28"/>
          <w:lang w:val="uk-UA" w:eastAsia="en-US"/>
        </w:rPr>
        <w:t>Каморникова</w:t>
      </w:r>
      <w:proofErr w:type="spellEnd"/>
      <w:r w:rsidRPr="00D11597">
        <w:rPr>
          <w:rFonts w:eastAsiaTheme="minorHAnsi" w:cstheme="minorBidi"/>
          <w:szCs w:val="28"/>
          <w:lang w:val="uk-UA" w:eastAsia="en-US"/>
        </w:rPr>
        <w:t xml:space="preserve"> Ю. Дослідження питання визначення головних членів речення. – </w:t>
      </w:r>
      <w:r w:rsidRPr="00D11597">
        <w:rPr>
          <w:rFonts w:eastAsiaTheme="minorHAnsi"/>
          <w:szCs w:val="28"/>
          <w:lang w:val="uk-UA" w:eastAsia="en-US"/>
        </w:rPr>
        <w:t xml:space="preserve">[Електронний ресурс]. – </w:t>
      </w:r>
      <w:r w:rsidRPr="00D11597">
        <w:rPr>
          <w:rFonts w:eastAsiaTheme="minorHAnsi" w:cstheme="minorBidi"/>
          <w:szCs w:val="28"/>
          <w:lang w:val="uk-UA" w:eastAsia="en-US"/>
        </w:rPr>
        <w:t>Режим доступу :</w:t>
      </w:r>
      <w:r w:rsidRPr="00D11597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hyperlink r:id="rId6" w:history="1">
        <w:r w:rsidRPr="00D11597">
          <w:rPr>
            <w:rFonts w:eastAsiaTheme="minorHAnsi" w:cstheme="minorBidi"/>
            <w:color w:val="0000FF" w:themeColor="hyperlink"/>
            <w:szCs w:val="28"/>
            <w:u w:val="single"/>
            <w:lang w:val="uk-UA" w:eastAsia="en-US"/>
          </w:rPr>
          <w:t>http://oldconf.neasmo.org.ua/node/569</w:t>
        </w:r>
      </w:hyperlink>
    </w:p>
    <w:p w:rsidR="00D11597" w:rsidRPr="00D11597" w:rsidRDefault="00D11597" w:rsidP="00D11597">
      <w:pPr>
        <w:numPr>
          <w:ilvl w:val="0"/>
          <w:numId w:val="13"/>
        </w:numPr>
        <w:shd w:val="clear" w:color="auto" w:fill="FFFFFF"/>
        <w:tabs>
          <w:tab w:val="left" w:pos="709"/>
        </w:tabs>
        <w:spacing w:after="200" w:line="360" w:lineRule="auto"/>
        <w:contextualSpacing/>
        <w:jc w:val="both"/>
        <w:rPr>
          <w:rFonts w:eastAsiaTheme="minorHAnsi" w:cstheme="minorBidi"/>
          <w:szCs w:val="28"/>
          <w:lang w:val="uk-UA" w:eastAsia="en-US"/>
        </w:rPr>
      </w:pPr>
      <w:proofErr w:type="spellStart"/>
      <w:r w:rsidRPr="00D11597">
        <w:rPr>
          <w:rFonts w:eastAsiaTheme="minorHAnsi"/>
          <w:szCs w:val="28"/>
          <w:lang w:eastAsia="en-US"/>
        </w:rPr>
        <w:t>Сучасна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</w:t>
      </w:r>
      <w:proofErr w:type="spellStart"/>
      <w:r w:rsidRPr="00D11597">
        <w:rPr>
          <w:rFonts w:eastAsiaTheme="minorHAnsi"/>
          <w:szCs w:val="28"/>
          <w:lang w:eastAsia="en-US"/>
        </w:rPr>
        <w:t>українська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</w:t>
      </w:r>
      <w:proofErr w:type="spellStart"/>
      <w:r w:rsidRPr="00D11597">
        <w:rPr>
          <w:rFonts w:eastAsiaTheme="minorHAnsi"/>
          <w:szCs w:val="28"/>
          <w:lang w:eastAsia="en-US"/>
        </w:rPr>
        <w:t>літературна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</w:t>
      </w:r>
      <w:proofErr w:type="spellStart"/>
      <w:r w:rsidRPr="00D11597">
        <w:rPr>
          <w:rFonts w:eastAsiaTheme="minorHAnsi"/>
          <w:szCs w:val="28"/>
          <w:lang w:eastAsia="en-US"/>
        </w:rPr>
        <w:t>мова</w:t>
      </w:r>
      <w:proofErr w:type="spellEnd"/>
      <w:r w:rsidRPr="00D11597">
        <w:rPr>
          <w:rFonts w:eastAsiaTheme="minorHAnsi"/>
          <w:szCs w:val="28"/>
          <w:lang w:eastAsia="en-US"/>
        </w:rPr>
        <w:t xml:space="preserve">: </w:t>
      </w:r>
      <w:proofErr w:type="spellStart"/>
      <w:proofErr w:type="gramStart"/>
      <w:r w:rsidRPr="00D11597">
        <w:rPr>
          <w:rFonts w:eastAsiaTheme="minorHAnsi"/>
          <w:szCs w:val="28"/>
          <w:lang w:eastAsia="en-US"/>
        </w:rPr>
        <w:t>П</w:t>
      </w:r>
      <w:proofErr w:type="gramEnd"/>
      <w:r w:rsidRPr="00D11597">
        <w:rPr>
          <w:rFonts w:eastAsiaTheme="minorHAnsi"/>
          <w:szCs w:val="28"/>
          <w:lang w:eastAsia="en-US"/>
        </w:rPr>
        <w:t>ідручник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/ М. Я. Плющ, С. П. Бевзенко, Н. Я. </w:t>
      </w:r>
      <w:proofErr w:type="spellStart"/>
      <w:r w:rsidRPr="00D11597">
        <w:rPr>
          <w:rFonts w:eastAsiaTheme="minorHAnsi"/>
          <w:szCs w:val="28"/>
          <w:lang w:eastAsia="en-US"/>
        </w:rPr>
        <w:t>Грипас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та </w:t>
      </w:r>
      <w:proofErr w:type="spellStart"/>
      <w:r w:rsidRPr="00D11597">
        <w:rPr>
          <w:rFonts w:eastAsiaTheme="minorHAnsi"/>
          <w:szCs w:val="28"/>
          <w:lang w:eastAsia="en-US"/>
        </w:rPr>
        <w:t>ін</w:t>
      </w:r>
      <w:proofErr w:type="spellEnd"/>
      <w:r w:rsidRPr="00D11597">
        <w:rPr>
          <w:rFonts w:eastAsiaTheme="minorHAnsi"/>
          <w:szCs w:val="28"/>
          <w:lang w:eastAsia="en-US"/>
        </w:rPr>
        <w:t xml:space="preserve">.; За </w:t>
      </w:r>
      <w:proofErr w:type="spellStart"/>
      <w:r w:rsidRPr="00D11597">
        <w:rPr>
          <w:rFonts w:eastAsiaTheme="minorHAnsi"/>
          <w:szCs w:val="28"/>
          <w:lang w:eastAsia="en-US"/>
        </w:rPr>
        <w:t>ред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М. Я. Плющ. – К.</w:t>
      </w:r>
      <w:proofErr w:type="gramStart"/>
      <w:r w:rsidRPr="00D11597">
        <w:rPr>
          <w:rFonts w:eastAsiaTheme="minorHAnsi"/>
          <w:szCs w:val="28"/>
          <w:lang w:eastAsia="en-US"/>
        </w:rPr>
        <w:t xml:space="preserve"> :</w:t>
      </w:r>
      <w:proofErr w:type="gramEnd"/>
      <w:r w:rsidRPr="00D11597">
        <w:rPr>
          <w:rFonts w:eastAsiaTheme="minorHAnsi"/>
          <w:szCs w:val="28"/>
          <w:lang w:eastAsia="en-US"/>
        </w:rPr>
        <w:t xml:space="preserve"> </w:t>
      </w:r>
      <w:proofErr w:type="spellStart"/>
      <w:r w:rsidRPr="00D11597">
        <w:rPr>
          <w:rFonts w:eastAsiaTheme="minorHAnsi"/>
          <w:szCs w:val="28"/>
          <w:lang w:eastAsia="en-US"/>
        </w:rPr>
        <w:t>Вища</w:t>
      </w:r>
      <w:proofErr w:type="spellEnd"/>
      <w:r w:rsidRPr="00D11597">
        <w:rPr>
          <w:rFonts w:eastAsiaTheme="minorHAnsi"/>
          <w:szCs w:val="28"/>
          <w:lang w:eastAsia="en-US"/>
        </w:rPr>
        <w:t xml:space="preserve"> </w:t>
      </w:r>
      <w:proofErr w:type="spellStart"/>
      <w:r w:rsidRPr="00D11597">
        <w:rPr>
          <w:rFonts w:eastAsiaTheme="minorHAnsi"/>
          <w:szCs w:val="28"/>
          <w:lang w:eastAsia="en-US"/>
        </w:rPr>
        <w:t>шк</w:t>
      </w:r>
      <w:proofErr w:type="spellEnd"/>
      <w:r w:rsidRPr="00D11597">
        <w:rPr>
          <w:rFonts w:eastAsiaTheme="minorHAnsi"/>
          <w:szCs w:val="28"/>
          <w:lang w:eastAsia="en-US"/>
        </w:rPr>
        <w:t>., 1994. – 414 с.</w:t>
      </w:r>
    </w:p>
    <w:p w:rsidR="00D11597" w:rsidRPr="00D11597" w:rsidRDefault="00D11597" w:rsidP="00D11597">
      <w:pPr>
        <w:numPr>
          <w:ilvl w:val="0"/>
          <w:numId w:val="13"/>
        </w:numPr>
        <w:shd w:val="clear" w:color="auto" w:fill="FFFFFF"/>
        <w:tabs>
          <w:tab w:val="left" w:pos="709"/>
        </w:tabs>
        <w:spacing w:after="200" w:line="360" w:lineRule="auto"/>
        <w:contextualSpacing/>
        <w:jc w:val="both"/>
        <w:rPr>
          <w:rFonts w:eastAsiaTheme="minorHAnsi" w:cstheme="minorBidi"/>
          <w:szCs w:val="28"/>
          <w:lang w:val="uk-UA" w:eastAsia="en-US"/>
        </w:rPr>
      </w:pPr>
      <w:r w:rsidRPr="00D11597">
        <w:rPr>
          <w:rFonts w:eastAsiaTheme="minorHAnsi" w:cstheme="minorBidi"/>
          <w:szCs w:val="28"/>
          <w:lang w:val="uk-UA" w:eastAsia="en-US"/>
        </w:rPr>
        <w:t xml:space="preserve">Сучасна українська мова: Підручник / О. Д. Пономарів, В. В. </w:t>
      </w:r>
      <w:proofErr w:type="spellStart"/>
      <w:r w:rsidRPr="00D11597">
        <w:rPr>
          <w:rFonts w:eastAsiaTheme="minorHAnsi" w:cstheme="minorBidi"/>
          <w:szCs w:val="28"/>
          <w:lang w:val="uk-UA" w:eastAsia="en-US"/>
        </w:rPr>
        <w:t>Різун</w:t>
      </w:r>
      <w:proofErr w:type="spellEnd"/>
      <w:r w:rsidRPr="00D11597">
        <w:rPr>
          <w:rFonts w:eastAsiaTheme="minorHAnsi" w:cstheme="minorBidi"/>
          <w:szCs w:val="28"/>
          <w:lang w:val="uk-UA" w:eastAsia="en-US"/>
        </w:rPr>
        <w:t>, Л. Ю. Шевченко та ін.; За ред. О. Д. Пономарева. – 2-ге вид., перероб. – К. : Либідь, 2001. – 400 с.</w:t>
      </w:r>
    </w:p>
    <w:p w:rsidR="00D11597" w:rsidRPr="00D11597" w:rsidRDefault="00D11597" w:rsidP="00D11597">
      <w:pPr>
        <w:numPr>
          <w:ilvl w:val="0"/>
          <w:numId w:val="13"/>
        </w:numPr>
        <w:shd w:val="clear" w:color="auto" w:fill="FFFFFF"/>
        <w:tabs>
          <w:tab w:val="num" w:pos="0"/>
          <w:tab w:val="left" w:pos="709"/>
        </w:tabs>
        <w:spacing w:after="200" w:line="360" w:lineRule="auto"/>
        <w:contextualSpacing/>
        <w:jc w:val="both"/>
        <w:rPr>
          <w:rFonts w:eastAsiaTheme="minorHAnsi" w:cstheme="minorBidi"/>
          <w:szCs w:val="28"/>
          <w:lang w:val="uk-UA" w:eastAsia="en-US"/>
        </w:rPr>
      </w:pPr>
      <w:r w:rsidRPr="00D11597">
        <w:rPr>
          <w:rFonts w:eastAsiaTheme="minorHAnsi" w:cstheme="minorBidi"/>
          <w:szCs w:val="28"/>
          <w:lang w:val="uk-UA" w:eastAsia="en-US"/>
        </w:rPr>
        <w:t xml:space="preserve">Шкуратяна Н. Г., Шевчук С. В. Сучасна українська літературна мова / Н. Г. Шкуратяна, С. В. Шевчук. – К. : Вища </w:t>
      </w:r>
      <w:proofErr w:type="spellStart"/>
      <w:r w:rsidRPr="00D11597">
        <w:rPr>
          <w:rFonts w:eastAsiaTheme="minorHAnsi" w:cstheme="minorBidi"/>
          <w:szCs w:val="28"/>
          <w:lang w:val="uk-UA" w:eastAsia="en-US"/>
        </w:rPr>
        <w:t>шк</w:t>
      </w:r>
      <w:proofErr w:type="spellEnd"/>
      <w:r w:rsidRPr="00D11597">
        <w:rPr>
          <w:rFonts w:eastAsiaTheme="minorHAnsi" w:cstheme="minorBidi"/>
          <w:szCs w:val="28"/>
          <w:lang w:val="uk-UA" w:eastAsia="en-US"/>
        </w:rPr>
        <w:t>., 2007. – 823 с.</w:t>
      </w:r>
    </w:p>
    <w:p w:rsidR="00D11597" w:rsidRPr="00D11597" w:rsidRDefault="00D11597" w:rsidP="00D11597">
      <w:pPr>
        <w:numPr>
          <w:ilvl w:val="0"/>
          <w:numId w:val="13"/>
        </w:numPr>
        <w:shd w:val="clear" w:color="auto" w:fill="FFFFFF"/>
        <w:tabs>
          <w:tab w:val="num" w:pos="0"/>
          <w:tab w:val="left" w:pos="709"/>
        </w:tabs>
        <w:spacing w:after="200" w:line="360" w:lineRule="auto"/>
        <w:contextualSpacing/>
        <w:jc w:val="both"/>
        <w:rPr>
          <w:rFonts w:eastAsiaTheme="minorHAnsi" w:cstheme="minorBidi"/>
          <w:szCs w:val="28"/>
          <w:lang w:val="uk-UA" w:eastAsia="en-US"/>
        </w:rPr>
      </w:pPr>
      <w:proofErr w:type="spellStart"/>
      <w:r w:rsidRPr="00D11597">
        <w:rPr>
          <w:rFonts w:eastAsiaTheme="minorHAnsi" w:cstheme="minorBidi"/>
          <w:szCs w:val="28"/>
          <w:lang w:val="uk-UA" w:eastAsia="en-US"/>
        </w:rPr>
        <w:t>Шульжук</w:t>
      </w:r>
      <w:proofErr w:type="spellEnd"/>
      <w:r w:rsidRPr="00D11597">
        <w:rPr>
          <w:rFonts w:eastAsiaTheme="minorHAnsi" w:cstheme="minorBidi"/>
          <w:szCs w:val="28"/>
          <w:lang w:val="uk-UA" w:eastAsia="en-US"/>
        </w:rPr>
        <w:t xml:space="preserve"> К. Ф. Синтаксис української мови : підручник / К. Ф. </w:t>
      </w:r>
      <w:proofErr w:type="spellStart"/>
      <w:r w:rsidRPr="00D11597">
        <w:rPr>
          <w:rFonts w:eastAsiaTheme="minorHAnsi" w:cstheme="minorBidi"/>
          <w:szCs w:val="28"/>
          <w:lang w:val="uk-UA" w:eastAsia="en-US"/>
        </w:rPr>
        <w:t>Шульжук</w:t>
      </w:r>
      <w:proofErr w:type="spellEnd"/>
      <w:r w:rsidRPr="00D11597">
        <w:rPr>
          <w:rFonts w:eastAsiaTheme="minorHAnsi" w:cstheme="minorBidi"/>
          <w:szCs w:val="28"/>
          <w:lang w:val="uk-UA" w:eastAsia="en-US"/>
        </w:rPr>
        <w:t xml:space="preserve">. – 2-ге вид., </w:t>
      </w:r>
      <w:proofErr w:type="spellStart"/>
      <w:r w:rsidRPr="00D11597">
        <w:rPr>
          <w:rFonts w:eastAsiaTheme="minorHAnsi" w:cstheme="minorBidi"/>
          <w:szCs w:val="28"/>
          <w:lang w:val="uk-UA" w:eastAsia="en-US"/>
        </w:rPr>
        <w:t>доп</w:t>
      </w:r>
      <w:proofErr w:type="spellEnd"/>
      <w:r w:rsidRPr="00D11597">
        <w:rPr>
          <w:rFonts w:eastAsiaTheme="minorHAnsi" w:cstheme="minorBidi"/>
          <w:szCs w:val="28"/>
          <w:lang w:val="uk-UA" w:eastAsia="en-US"/>
        </w:rPr>
        <w:t>. – К. : ВЦ «Академія», 2010. – 408 с.</w:t>
      </w:r>
    </w:p>
    <w:p w:rsidR="004400E9" w:rsidRPr="00DC7836" w:rsidRDefault="004400E9" w:rsidP="00DC7836">
      <w:pPr>
        <w:shd w:val="clear" w:color="auto" w:fill="FFFFFF"/>
        <w:jc w:val="center"/>
        <w:rPr>
          <w:szCs w:val="28"/>
          <w:lang w:val="uk-UA"/>
        </w:rPr>
      </w:pPr>
    </w:p>
    <w:sectPr w:rsidR="004400E9" w:rsidRPr="00DC7836" w:rsidSect="0040397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8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3"/>
  </w:num>
  <w:num w:numId="5">
    <w:abstractNumId w:val="9"/>
  </w:num>
  <w:num w:numId="6">
    <w:abstractNumId w:val="7"/>
  </w:num>
  <w:num w:numId="7">
    <w:abstractNumId w:val="6"/>
  </w:num>
  <w:num w:numId="8">
    <w:abstractNumId w:val="10"/>
  </w:num>
  <w:num w:numId="9">
    <w:abstractNumId w:val="1"/>
  </w:num>
  <w:num w:numId="10">
    <w:abstractNumId w:val="12"/>
  </w:num>
  <w:num w:numId="11">
    <w:abstractNumId w:val="2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A6463"/>
    <w:rsid w:val="00DC7836"/>
    <w:rsid w:val="00DD5591"/>
    <w:rsid w:val="00E02400"/>
    <w:rsid w:val="00E241C5"/>
    <w:rsid w:val="00E55CAD"/>
    <w:rsid w:val="00EB4030"/>
    <w:rsid w:val="00EE5329"/>
    <w:rsid w:val="00F1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ldconf.neasmo.org.ua/node/56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4</cp:revision>
  <dcterms:created xsi:type="dcterms:W3CDTF">2019-03-19T16:07:00Z</dcterms:created>
  <dcterms:modified xsi:type="dcterms:W3CDTF">2019-05-24T19:12:00Z</dcterms:modified>
</cp:coreProperties>
</file>