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07BCE8">
      <w:pPr>
        <w:spacing w:after="0" w:line="276" w:lineRule="auto"/>
        <w:jc w:val="center"/>
        <w:rPr>
          <w:rFonts w:ascii="Times New Roman" w:hAnsi="Times New Roman" w:eastAsia="Times New Roman" w:cs="Times New Roman"/>
          <w:b/>
          <w:sz w:val="28"/>
          <w:szCs w:val="28"/>
          <w:lang w:eastAsia="ru-RU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0"/>
        <w:gridCol w:w="3607"/>
        <w:gridCol w:w="4672"/>
      </w:tblGrid>
      <w:tr w14:paraId="5AFB03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</w:tcPr>
          <w:p w14:paraId="00E7083F">
            <w:pPr>
              <w:spacing w:after="0" w:line="240" w:lineRule="auto"/>
              <w:ind w:left="720"/>
              <w:contextualSpacing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  <w:t xml:space="preserve">№ </w:t>
            </w:r>
            <w:r>
              <w:rPr>
                <w:rFonts w:ascii="Times New Roman" w:hAnsi="Times New Roman" w:eastAsia="Calibri" w:cs="Times New Roman"/>
                <w:sz w:val="24"/>
                <w:szCs w:val="24"/>
                <w:lang w:val="uk-UA"/>
              </w:rPr>
              <w:t>З</w:t>
            </w:r>
            <w:bookmarkStart w:id="0" w:name="_GoBack"/>
            <w:bookmarkEnd w:id="0"/>
            <w:r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  <w:t>/П</w:t>
            </w:r>
          </w:p>
        </w:tc>
        <w:tc>
          <w:tcPr>
            <w:tcW w:w="3607" w:type="dxa"/>
          </w:tcPr>
          <w:p w14:paraId="3A3404F2">
            <w:pPr>
              <w:spacing w:after="0" w:line="240" w:lineRule="auto"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  <w:t>Перелік метаданих (додаткових даних про матеріал), які включають:</w:t>
            </w:r>
          </w:p>
        </w:tc>
        <w:tc>
          <w:tcPr>
            <w:tcW w:w="4672" w:type="dxa"/>
          </w:tcPr>
          <w:p w14:paraId="78AE8A42">
            <w:pPr>
              <w:spacing w:after="0" w:line="240" w:lineRule="auto"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  <w:t>Особливості заповнення</w:t>
            </w:r>
          </w:p>
        </w:tc>
      </w:tr>
      <w:tr w14:paraId="0834D8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</w:tcPr>
          <w:p w14:paraId="6AB5E9A1">
            <w:pPr>
              <w:spacing w:after="0" w:line="240" w:lineRule="auto"/>
              <w:ind w:left="360"/>
              <w:contextualSpacing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  <w:t>1.</w:t>
            </w:r>
          </w:p>
        </w:tc>
        <w:tc>
          <w:tcPr>
            <w:tcW w:w="3607" w:type="dxa"/>
          </w:tcPr>
          <w:p w14:paraId="5FD0B13C">
            <w:pPr>
              <w:spacing w:after="0" w:line="240" w:lineRule="auto"/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  <w:t>Прізвище, ім'я та по- батькові</w:t>
            </w:r>
          </w:p>
        </w:tc>
        <w:tc>
          <w:tcPr>
            <w:tcW w:w="4672" w:type="dxa"/>
          </w:tcPr>
          <w:p w14:paraId="642C2C47">
            <w:pPr>
              <w:spacing w:after="0" w:line="240" w:lineRule="auto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shd w:val="clear" w:color="auto" w:fill="FFFFFF"/>
                <w:lang w:val="ru-RU" w:eastAsia="ru-RU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shd w:val="clear" w:color="auto" w:fill="FFFFFF"/>
                <w:lang w:val="uk-UA" w:eastAsia="ru-RU"/>
              </w:rPr>
              <w:t>Мегем</w:t>
            </w: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shd w:val="clear" w:color="auto" w:fill="FFFFFF"/>
                <w:lang w:val="uk-UA" w:eastAsia="ru-RU"/>
              </w:rPr>
              <w:t xml:space="preserve"> Олеся Миколаївна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shd w:val="clear" w:color="auto" w:fill="FFFFFF"/>
                <w:lang w:val="ru-RU" w:eastAsia="ru-RU"/>
              </w:rPr>
              <w:t xml:space="preserve"> </w:t>
            </w:r>
          </w:p>
          <w:p w14:paraId="0DAB85B3">
            <w:pPr>
              <w:spacing w:after="0" w:line="240" w:lineRule="auto"/>
              <w:jc w:val="both"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</w:p>
        </w:tc>
      </w:tr>
      <w:tr w14:paraId="73E5AB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</w:tcPr>
          <w:p w14:paraId="6E6A3F77">
            <w:pPr>
              <w:spacing w:after="0" w:line="240" w:lineRule="auto"/>
              <w:ind w:left="360"/>
              <w:contextualSpacing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  <w:t>2.</w:t>
            </w:r>
          </w:p>
        </w:tc>
        <w:tc>
          <w:tcPr>
            <w:tcW w:w="3607" w:type="dxa"/>
          </w:tcPr>
          <w:p w14:paraId="7D119C68">
            <w:pPr>
              <w:spacing w:after="0" w:line="240" w:lineRule="auto"/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  <w:t>Заголовок твору</w:t>
            </w:r>
          </w:p>
        </w:tc>
        <w:tc>
          <w:tcPr>
            <w:tcW w:w="4672" w:type="dxa"/>
          </w:tcPr>
          <w:p w14:paraId="1249A32E">
            <w:pPr>
              <w:spacing w:after="0" w:line="240" w:lineRule="auto"/>
              <w:jc w:val="both"/>
              <w:rPr>
                <w:rFonts w:hint="default" w:ascii="Times New Roman" w:hAnsi="Times New Roman" w:eastAsia="Times New Roman"/>
                <w:sz w:val="24"/>
                <w:szCs w:val="24"/>
                <w:lang w:val="ru-RU" w:eastAsia="ru-RU"/>
              </w:rPr>
            </w:pPr>
            <w:r>
              <w:rPr>
                <w:rFonts w:hint="default" w:ascii="Times New Roman" w:hAnsi="Times New Roman" w:eastAsia="Times New Roman"/>
                <w:sz w:val="24"/>
                <w:szCs w:val="24"/>
                <w:lang w:val="ru-RU" w:eastAsia="ru-RU"/>
              </w:rPr>
              <w:t>Факультет природничої і фізико-математичної освіти:</w:t>
            </w:r>
          </w:p>
          <w:p w14:paraId="7565A3C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hint="default" w:ascii="Times New Roman" w:hAnsi="Times New Roman" w:eastAsia="Times New Roman"/>
                <w:sz w:val="24"/>
                <w:szCs w:val="24"/>
                <w:lang w:val="ru-RU" w:eastAsia="ru-RU"/>
              </w:rPr>
              <w:t>становлення і розвиток (1874-2001 рр.)</w:t>
            </w:r>
          </w:p>
        </w:tc>
      </w:tr>
      <w:tr w14:paraId="1BA95B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</w:tcPr>
          <w:p w14:paraId="4CF8A068">
            <w:pPr>
              <w:spacing w:after="0" w:line="240" w:lineRule="auto"/>
              <w:ind w:left="360"/>
              <w:contextualSpacing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  <w:t>3.</w:t>
            </w:r>
          </w:p>
        </w:tc>
        <w:tc>
          <w:tcPr>
            <w:tcW w:w="3607" w:type="dxa"/>
          </w:tcPr>
          <w:p w14:paraId="792EA067">
            <w:pPr>
              <w:spacing w:after="0" w:line="240" w:lineRule="auto"/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  <w:t xml:space="preserve">Дата публікації </w:t>
            </w:r>
          </w:p>
        </w:tc>
        <w:tc>
          <w:tcPr>
            <w:tcW w:w="4672" w:type="dxa"/>
          </w:tcPr>
          <w:p w14:paraId="0CCC7B78">
            <w:pPr>
              <w:spacing w:after="0" w:line="240" w:lineRule="auto"/>
              <w:jc w:val="both"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  <w:t>2024</w:t>
            </w:r>
          </w:p>
        </w:tc>
      </w:tr>
      <w:tr w14:paraId="67151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</w:tcPr>
          <w:p w14:paraId="4B232EDE">
            <w:pPr>
              <w:spacing w:after="0" w:line="240" w:lineRule="auto"/>
              <w:ind w:left="360"/>
              <w:contextualSpacing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  <w:t>4.</w:t>
            </w:r>
          </w:p>
        </w:tc>
        <w:tc>
          <w:tcPr>
            <w:tcW w:w="3607" w:type="dxa"/>
          </w:tcPr>
          <w:p w14:paraId="1FC9CEF2">
            <w:pPr>
              <w:spacing w:after="0" w:line="240" w:lineRule="auto"/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  <w:t xml:space="preserve">Видавець </w:t>
            </w:r>
          </w:p>
        </w:tc>
        <w:tc>
          <w:tcPr>
            <w:tcW w:w="4672" w:type="dxa"/>
          </w:tcPr>
          <w:p w14:paraId="1C14DAA8">
            <w:pPr>
              <w:spacing w:after="0" w:line="240" w:lineRule="auto"/>
              <w:jc w:val="both"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Глухівський НПУ ім. О. Довженка</w:t>
            </w:r>
          </w:p>
        </w:tc>
      </w:tr>
      <w:tr w14:paraId="4F0932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</w:tcPr>
          <w:p w14:paraId="2E17DB0A">
            <w:pPr>
              <w:spacing w:after="0" w:line="240" w:lineRule="auto"/>
              <w:ind w:left="360"/>
              <w:contextualSpacing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  <w:t>5.</w:t>
            </w:r>
          </w:p>
        </w:tc>
        <w:tc>
          <w:tcPr>
            <w:tcW w:w="3607" w:type="dxa"/>
          </w:tcPr>
          <w:p w14:paraId="643AD271">
            <w:pPr>
              <w:spacing w:after="0" w:line="240" w:lineRule="auto"/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  <w:t xml:space="preserve">Бібліографічний опис </w:t>
            </w:r>
          </w:p>
        </w:tc>
        <w:tc>
          <w:tcPr>
            <w:tcW w:w="4672" w:type="dxa"/>
          </w:tcPr>
          <w:p w14:paraId="59C458B7">
            <w:pPr>
              <w:spacing w:after="0" w:line="240" w:lineRule="auto"/>
              <w:jc w:val="both"/>
              <w:rPr>
                <w:rFonts w:hint="default" w:ascii="Times New Roman" w:hAnsi="Times New Roman" w:eastAsia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val="uk-UA" w:eastAsia="ru-RU"/>
              </w:rPr>
              <w:t>Мегем</w:t>
            </w: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uk-UA" w:eastAsia="ru-RU"/>
              </w:rPr>
              <w:t xml:space="preserve"> Олеся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lang w:val="ru-RU" w:eastAsia="ru-RU"/>
              </w:rPr>
              <w:t xml:space="preserve">. </w:t>
            </w:r>
            <w:r>
              <w:rPr>
                <w:rFonts w:hint="default" w:ascii="Times New Roman" w:hAnsi="Times New Roman" w:eastAsia="Times New Roman"/>
                <w:sz w:val="24"/>
                <w:szCs w:val="24"/>
                <w:lang w:val="ru-RU" w:eastAsia="ru-RU"/>
              </w:rPr>
              <w:t>Факультет природничої і фізико-математичної освіти:</w:t>
            </w:r>
          </w:p>
          <w:p w14:paraId="301FCD06">
            <w:pPr>
              <w:spacing w:after="0" w:line="240" w:lineRule="auto"/>
              <w:jc w:val="both"/>
              <w:rPr>
                <w:rFonts w:ascii="Times New Roman" w:hAnsi="Times New Roman" w:eastAsia="Calibri" w:cs="Times New Roman"/>
                <w:sz w:val="24"/>
                <w:szCs w:val="24"/>
                <w:lang w:val="uk-UA"/>
              </w:rPr>
            </w:pPr>
            <w:r>
              <w:rPr>
                <w:rFonts w:hint="default" w:ascii="Times New Roman" w:hAnsi="Times New Roman" w:eastAsia="Times New Roman"/>
                <w:sz w:val="24"/>
                <w:szCs w:val="24"/>
                <w:lang w:val="ru-RU" w:eastAsia="ru-RU"/>
              </w:rPr>
              <w:t>становлення і розвиток (1874-2001 рр.)</w:t>
            </w:r>
            <w:r>
              <w:rPr>
                <w:rFonts w:hint="default" w:ascii="Times New Roman" w:hAnsi="Times New Roman" w:eastAsia="Times New Roman"/>
                <w:sz w:val="24"/>
                <w:szCs w:val="24"/>
                <w:lang w:val="uk-UA" w:eastAsia="ru-RU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lang w:val="ru-RU" w:eastAsia="ru-RU"/>
              </w:rPr>
              <w:t xml:space="preserve">/ за ред. Олександра Курка, Наталії Ткаченко, Андрія Гриценка. Глухів. 2024. С. </w:t>
            </w: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uk-UA" w:eastAsia="ru-RU"/>
              </w:rPr>
              <w:t>312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lang w:val="ru-RU" w:eastAsia="ru-RU"/>
              </w:rPr>
              <w:t>-</w:t>
            </w:r>
            <w:r>
              <w:rPr>
                <w:rFonts w:hint="default" w:ascii="Times New Roman" w:hAnsi="Times New Roman" w:eastAsia="Times New Roman" w:cs="Times New Roman"/>
                <w:sz w:val="24"/>
                <w:szCs w:val="24"/>
                <w:lang w:val="uk-UA" w:eastAsia="ru-RU"/>
              </w:rPr>
              <w:t>329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lang w:val="ru-RU" w:eastAsia="ru-RU"/>
              </w:rPr>
              <w:t>.</w:t>
            </w:r>
          </w:p>
        </w:tc>
      </w:tr>
      <w:tr w14:paraId="299E3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</w:tcPr>
          <w:p w14:paraId="2EDD7200">
            <w:pPr>
              <w:spacing w:after="0" w:line="240" w:lineRule="auto"/>
              <w:ind w:left="360"/>
              <w:contextualSpacing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  <w:t>6.</w:t>
            </w:r>
          </w:p>
        </w:tc>
        <w:tc>
          <w:tcPr>
            <w:tcW w:w="3607" w:type="dxa"/>
          </w:tcPr>
          <w:p w14:paraId="006B3289">
            <w:pPr>
              <w:spacing w:after="0" w:line="240" w:lineRule="auto"/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  <w:t>УДК</w:t>
            </w:r>
          </w:p>
        </w:tc>
        <w:tc>
          <w:tcPr>
            <w:tcW w:w="4672" w:type="dxa"/>
          </w:tcPr>
          <w:p w14:paraId="2A01FEF1">
            <w:pPr>
              <w:spacing w:after="0" w:line="240" w:lineRule="auto"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  <w:t>378.4(477.52-21)ГНПУ</w:t>
            </w:r>
          </w:p>
        </w:tc>
      </w:tr>
      <w:tr w14:paraId="3EFA99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</w:tcPr>
          <w:p w14:paraId="35291823">
            <w:pPr>
              <w:spacing w:after="0" w:line="240" w:lineRule="auto"/>
              <w:ind w:left="360"/>
              <w:contextualSpacing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  <w:t>7.</w:t>
            </w:r>
          </w:p>
        </w:tc>
        <w:tc>
          <w:tcPr>
            <w:tcW w:w="3607" w:type="dxa"/>
          </w:tcPr>
          <w:p w14:paraId="048FC5E1">
            <w:pPr>
              <w:spacing w:after="0" w:line="240" w:lineRule="auto"/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  <w:t>Характер або жанр змісту матеріалу</w:t>
            </w:r>
          </w:p>
        </w:tc>
        <w:tc>
          <w:tcPr>
            <w:tcW w:w="4672" w:type="dxa"/>
          </w:tcPr>
          <w:p w14:paraId="1AA70BB0">
            <w:pPr>
              <w:spacing w:after="0" w:line="240" w:lineRule="auto"/>
              <w:jc w:val="both"/>
              <w:rPr>
                <w:rFonts w:ascii="Times New Roman" w:hAnsi="Times New Roman" w:eastAsia="Calibri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uk-UA"/>
              </w:rPr>
              <w:t>монографія</w:t>
            </w:r>
          </w:p>
          <w:p w14:paraId="157830F3">
            <w:pPr>
              <w:spacing w:after="0" w:line="240" w:lineRule="auto"/>
              <w:jc w:val="both"/>
              <w:rPr>
                <w:rFonts w:ascii="Times New Roman" w:hAnsi="Times New Roman" w:eastAsia="Calibri" w:cs="Times New Roman"/>
                <w:sz w:val="24"/>
                <w:szCs w:val="24"/>
                <w:lang w:val="uk-UA"/>
              </w:rPr>
            </w:pPr>
          </w:p>
        </w:tc>
      </w:tr>
      <w:tr w14:paraId="3AA69E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</w:tcPr>
          <w:p w14:paraId="2EDED28C">
            <w:pPr>
              <w:spacing w:after="0" w:line="240" w:lineRule="auto"/>
              <w:ind w:left="360"/>
              <w:contextualSpacing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  <w:t>8.</w:t>
            </w:r>
          </w:p>
        </w:tc>
        <w:tc>
          <w:tcPr>
            <w:tcW w:w="3607" w:type="dxa"/>
          </w:tcPr>
          <w:p w14:paraId="35401256">
            <w:pPr>
              <w:spacing w:after="0" w:line="240" w:lineRule="auto"/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  <w:t xml:space="preserve">Анотація </w:t>
            </w:r>
          </w:p>
        </w:tc>
        <w:tc>
          <w:tcPr>
            <w:tcW w:w="4672" w:type="dxa"/>
          </w:tcPr>
          <w:p w14:paraId="4B364D86">
            <w:pPr>
              <w:tabs>
                <w:tab w:val="left" w:pos="1237"/>
              </w:tabs>
              <w:spacing w:after="0" w:line="240" w:lineRule="auto"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  <w:t xml:space="preserve">У публікації здійснено </w:t>
            </w:r>
            <w:r>
              <w:rPr>
                <w:rFonts w:ascii="Times New Roman" w:hAnsi="Times New Roman" w:eastAsia="Calibri" w:cs="Times New Roman"/>
                <w:sz w:val="24"/>
                <w:szCs w:val="24"/>
                <w:lang w:val="uk-UA"/>
              </w:rPr>
              <w:t>ретроспективний</w:t>
            </w:r>
            <w:r>
              <w:rPr>
                <w:rFonts w:hint="default" w:ascii="Times New Roman" w:hAnsi="Times New Roman" w:eastAsia="Calibri" w:cs="Times New Roman"/>
                <w:sz w:val="24"/>
                <w:szCs w:val="24"/>
                <w:lang w:val="uk-UA"/>
              </w:rPr>
              <w:t xml:space="preserve"> аналіз </w:t>
            </w:r>
            <w:r>
              <w:rPr>
                <w:rFonts w:ascii="Times New Roman" w:hAnsi="Times New Roman" w:eastAsia="Calibri" w:cs="Times New Roman"/>
                <w:sz w:val="24"/>
                <w:szCs w:val="24"/>
                <w:lang w:val="uk-UA"/>
              </w:rPr>
              <w:t>становлення</w:t>
            </w:r>
            <w:r>
              <w:rPr>
                <w:rFonts w:hint="default" w:ascii="Times New Roman" w:hAnsi="Times New Roman" w:eastAsia="Calibri" w:cs="Times New Roman"/>
                <w:sz w:val="24"/>
                <w:szCs w:val="24"/>
                <w:lang w:val="uk-UA"/>
              </w:rPr>
              <w:t xml:space="preserve"> та розвитку факультету природничої і фізико-математичної </w:t>
            </w:r>
            <w:r>
              <w:rPr>
                <w:rFonts w:hint="default" w:ascii="Times New Roman" w:hAnsi="Times New Roman" w:eastAsia="Calibri" w:cs="Times New Roman"/>
                <w:sz w:val="24"/>
                <w:szCs w:val="24"/>
                <w:lang w:val="uk-UA"/>
              </w:rPr>
              <w:t xml:space="preserve">освіти </w:t>
            </w:r>
            <w:r>
              <w:rPr>
                <w:rFonts w:hint="default" w:ascii="Times New Roman" w:hAnsi="Times New Roman" w:eastAsia="Calibri" w:cs="Times New Roman"/>
                <w:sz w:val="24"/>
                <w:szCs w:val="24"/>
                <w:lang w:val="uk-UA"/>
              </w:rPr>
              <w:t xml:space="preserve">Глухівського НПУ ім. О. Довженка упродовж 1874-2001 рр. </w:t>
            </w:r>
          </w:p>
          <w:p w14:paraId="6704B528">
            <w:pPr>
              <w:tabs>
                <w:tab w:val="left" w:pos="1237"/>
              </w:tabs>
              <w:spacing w:after="0" w:line="240" w:lineRule="auto"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</w:p>
        </w:tc>
      </w:tr>
      <w:tr w14:paraId="41C2B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50" w:type="dxa"/>
          </w:tcPr>
          <w:p w14:paraId="25117AC8">
            <w:pPr>
              <w:spacing w:after="0" w:line="240" w:lineRule="auto"/>
              <w:jc w:val="center"/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ru-RU"/>
              </w:rPr>
              <w:t>9.</w:t>
            </w:r>
          </w:p>
        </w:tc>
        <w:tc>
          <w:tcPr>
            <w:tcW w:w="3607" w:type="dxa"/>
          </w:tcPr>
          <w:p w14:paraId="2A9FFE5C">
            <w:pPr>
              <w:spacing w:after="0" w:line="240" w:lineRule="auto"/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 w:eastAsia="Calibri" w:cs="Times New Roman"/>
                <w:b/>
                <w:sz w:val="24"/>
                <w:szCs w:val="24"/>
                <w:lang w:val="ru-RU"/>
              </w:rPr>
              <w:t>Ключові слова</w:t>
            </w:r>
          </w:p>
        </w:tc>
        <w:tc>
          <w:tcPr>
            <w:tcW w:w="4672" w:type="dxa"/>
          </w:tcPr>
          <w:p w14:paraId="7C436D3D">
            <w:pPr>
              <w:spacing w:after="0" w:line="240" w:lineRule="auto"/>
              <w:jc w:val="both"/>
              <w:rPr>
                <w:rFonts w:hint="default" w:ascii="Times New Roman" w:hAnsi="Times New Roman" w:eastAsia="Calibri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eastAsia="Calibri" w:cs="Times New Roman"/>
                <w:sz w:val="24"/>
                <w:szCs w:val="24"/>
                <w:lang w:val="uk-UA"/>
              </w:rPr>
              <w:t>Учительський</w:t>
            </w:r>
            <w:r>
              <w:rPr>
                <w:rFonts w:hint="default" w:ascii="Times New Roman" w:hAnsi="Times New Roman" w:eastAsia="Calibri" w:cs="Times New Roman"/>
                <w:sz w:val="24"/>
                <w:szCs w:val="24"/>
                <w:lang w:val="uk-UA"/>
              </w:rPr>
              <w:t xml:space="preserve"> інститут, фізико-математичний факультет, природничо-географічний факультет, дослідницькі уміння, професорсько-викладацький склад, відомі випускники, навчальні кабінети та лабораторії, руйнівна політика щодо знищення закладу, відродження факультету, педагогічна спадщина.</w:t>
            </w:r>
          </w:p>
        </w:tc>
      </w:tr>
    </w:tbl>
    <w:p w14:paraId="6554FCA3">
      <w:pPr>
        <w:rPr>
          <w:sz w:val="24"/>
          <w:szCs w:val="24"/>
        </w:rPr>
      </w:pPr>
    </w:p>
    <w:sectPr>
      <w:pgSz w:w="11906" w:h="16838"/>
      <w:pgMar w:top="850" w:right="850" w:bottom="850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CC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0A55"/>
    <w:rsid w:val="000659A7"/>
    <w:rsid w:val="00066180"/>
    <w:rsid w:val="001613EA"/>
    <w:rsid w:val="00186619"/>
    <w:rsid w:val="00232CDF"/>
    <w:rsid w:val="00273898"/>
    <w:rsid w:val="00360891"/>
    <w:rsid w:val="0042363F"/>
    <w:rsid w:val="00476999"/>
    <w:rsid w:val="005A4018"/>
    <w:rsid w:val="00744BC0"/>
    <w:rsid w:val="00773DF3"/>
    <w:rsid w:val="007904FA"/>
    <w:rsid w:val="00884476"/>
    <w:rsid w:val="008B751E"/>
    <w:rsid w:val="008D4836"/>
    <w:rsid w:val="00922128"/>
    <w:rsid w:val="009F313A"/>
    <w:rsid w:val="00D20C3F"/>
    <w:rsid w:val="00DA1A00"/>
    <w:rsid w:val="00DF1CDF"/>
    <w:rsid w:val="00E23478"/>
    <w:rsid w:val="00F03C15"/>
    <w:rsid w:val="00F43926"/>
    <w:rsid w:val="00FF0A55"/>
    <w:rsid w:val="55485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uk-UA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2"/>
    <w:semiHidden/>
    <w:unhideWhenUsed/>
    <w:uiPriority w:val="99"/>
    <w:rPr>
      <w:color w:val="0000FF"/>
      <w:u w:val="single"/>
    </w:rPr>
  </w:style>
  <w:style w:type="paragraph" w:styleId="5">
    <w:name w:val="Normal (Web)"/>
    <w:basedOn w:val="1"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val="ru-RU" w:eastAsia="ru-RU"/>
    </w:rPr>
  </w:style>
  <w:style w:type="table" w:styleId="6">
    <w:name w:val="Table Grid"/>
    <w:basedOn w:val="3"/>
    <w:uiPriority w:val="59"/>
    <w:pPr>
      <w:spacing w:after="0" w:line="240" w:lineRule="auto"/>
    </w:pPr>
    <w:rPr>
      <w:lang w:val="ru-RU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129</Words>
  <Characters>955</Characters>
  <Lines>18</Lines>
  <Paragraphs>4</Paragraphs>
  <TotalTime>21</TotalTime>
  <ScaleCrop>false</ScaleCrop>
  <LinksUpToDate>false</LinksUpToDate>
  <CharactersWithSpaces>1080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2025-03-10T07:56:00Z</dcterms:created>
  <dc:creator>Admin</dc:creator>
  <cp:lastModifiedBy>Олеся Мегем</cp:lastModifiedBy>
  <dcterms:modified xsi:type="dcterms:W3CDTF">2025-03-31T09:49:08Z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1049-12.2.0.20326</vt:lpwstr>
  </property>
  <property fmtid="{D5CDD505-2E9C-101B-9397-08002B2CF9AE}" pid="3" name="ICV">
    <vt:lpwstr>700D7AE1D2A14899B482CDAB44AB961E_12</vt:lpwstr>
  </property>
</Properties>
</file>