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E19" w:rsidRPr="00A67E19" w:rsidRDefault="00A67E19" w:rsidP="00A67E19">
      <w:pPr>
        <w:tabs>
          <w:tab w:val="left" w:pos="284"/>
        </w:tabs>
        <w:spacing w:after="200" w:line="240" w:lineRule="auto"/>
        <w:contextualSpacing/>
        <w:jc w:val="center"/>
        <w:rPr>
          <w:rFonts w:ascii="Baskerville Old Face" w:eastAsia="Times New Roman" w:hAnsi="Baskerville Old Face" w:cs="Times New Roman"/>
          <w:b/>
          <w:i/>
          <w:spacing w:val="-2"/>
          <w:sz w:val="28"/>
          <w:szCs w:val="28"/>
          <w:lang w:val="uk-UA" w:eastAsia="uk-UA"/>
        </w:rPr>
      </w:pPr>
      <w:bookmarkStart w:id="0" w:name="_GoBack"/>
      <w:bookmarkEnd w:id="0"/>
      <w:r w:rsidRPr="00A67E19">
        <w:rPr>
          <w:rFonts w:ascii="Baskerville Old Face" w:eastAsia="Times New Roman" w:hAnsi="Baskerville Old Face" w:cs="Times New Roman"/>
          <w:b/>
          <w:spacing w:val="-2"/>
          <w:sz w:val="28"/>
          <w:szCs w:val="28"/>
          <w:lang w:val="uk-UA" w:eastAsia="uk-UA"/>
        </w:rPr>
        <w:t xml:space="preserve"> </w:t>
      </w:r>
      <w:r w:rsidRPr="00A67E19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uk-UA"/>
        </w:rPr>
        <w:t>Компетентності</w:t>
      </w:r>
      <w:r w:rsidRPr="00A67E19">
        <w:rPr>
          <w:rFonts w:ascii="Baskerville Old Face" w:eastAsia="Times New Roman" w:hAnsi="Baskerville Old Face" w:cs="Times New Roman"/>
          <w:b/>
          <w:spacing w:val="-2"/>
          <w:sz w:val="28"/>
          <w:szCs w:val="28"/>
          <w:lang w:val="uk-UA" w:eastAsia="uk-UA"/>
        </w:rPr>
        <w:t xml:space="preserve"> </w:t>
      </w:r>
      <w:r w:rsidRPr="00A67E19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uk-UA"/>
        </w:rPr>
        <w:t>сучасного</w:t>
      </w:r>
      <w:r w:rsidRPr="00A67E19">
        <w:rPr>
          <w:rFonts w:ascii="Baskerville Old Face" w:eastAsia="Times New Roman" w:hAnsi="Baskerville Old Face" w:cs="Times New Roman"/>
          <w:b/>
          <w:spacing w:val="-2"/>
          <w:sz w:val="28"/>
          <w:szCs w:val="28"/>
          <w:lang w:val="uk-UA" w:eastAsia="uk-UA"/>
        </w:rPr>
        <w:t xml:space="preserve"> </w:t>
      </w:r>
      <w:r w:rsidRPr="00A67E19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uk-UA"/>
        </w:rPr>
        <w:t>фахівця</w:t>
      </w:r>
    </w:p>
    <w:p w:rsidR="00A67E19" w:rsidRPr="00A67E19" w:rsidRDefault="00A67E19" w:rsidP="00A67E19">
      <w:pPr>
        <w:tabs>
          <w:tab w:val="left" w:pos="284"/>
        </w:tabs>
        <w:spacing w:after="200" w:line="240" w:lineRule="auto"/>
        <w:contextualSpacing/>
        <w:jc w:val="both"/>
        <w:rPr>
          <w:rFonts w:ascii="Times New Roman" w:eastAsia="Times New Roman" w:hAnsi="Times New Roman" w:cs="Times New Roman"/>
          <w:b/>
          <w:i/>
          <w:spacing w:val="-2"/>
          <w:sz w:val="28"/>
          <w:szCs w:val="28"/>
          <w:lang w:val="uk-UA" w:eastAsia="uk-UA"/>
        </w:rPr>
      </w:pPr>
    </w:p>
    <w:p w:rsidR="00A67E19" w:rsidRPr="00A67E19" w:rsidRDefault="00A67E19" w:rsidP="00A67E19">
      <w:pPr>
        <w:tabs>
          <w:tab w:val="left" w:pos="284"/>
        </w:tabs>
        <w:spacing w:after="0" w:line="276" w:lineRule="auto"/>
        <w:ind w:left="1418"/>
        <w:contextualSpacing/>
        <w:jc w:val="both"/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uk-UA"/>
        </w:rPr>
      </w:pPr>
      <w:r w:rsidRPr="00A67E19">
        <w:rPr>
          <w:rFonts w:ascii="Times New Roman" w:eastAsia="Times New Roman" w:hAnsi="Times New Roman" w:cs="Times New Roman"/>
          <w:b/>
          <w:i/>
          <w:spacing w:val="-2"/>
          <w:sz w:val="28"/>
          <w:szCs w:val="28"/>
          <w:lang w:val="uk-UA" w:eastAsia="uk-UA"/>
        </w:rPr>
        <w:t xml:space="preserve">Ковальчук Василь Іванович, </w:t>
      </w:r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uk-UA"/>
        </w:rPr>
        <w:t>доктор педагогічних наук, професор, завідувач кафедри професійної освіти та технологій сільськогосподарського виробництва Глухівського національного педагогічного університету імені Олександра Довженка</w:t>
      </w:r>
    </w:p>
    <w:p w:rsidR="00A67E19" w:rsidRPr="00A67E19" w:rsidRDefault="00A67E19" w:rsidP="00A67E1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</w:pP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Нова епоха розвитку вітчизняної освіти характеризується пошуком оптимальних способів реалізації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підходу до навчання у закладах вищої освіти, що зумовлено соціально-політичним контекстом освіти. Проте на практиці відхід вищої школи від усталеної парадигми мислення та дій відбувається досить повільно. Епоха інформаційної революції і штучного інтелекту спричинила необхідність критичного переоцінювання усталених практичних основ педагогічної діяльності, перегляду традиційних підходів до підготовки майбутніх фахівців, у тому числі й педагогічних спеціальностей.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Підготовка сучасного фахівця на засадах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підходу зумовлена низкою вимог, а саме: реформуванням вітчизняної системи освіти з урахуванням міжнародних норм і стандартів та здобутків національної освіти; створенням моделі сучасного європейського спеціаліста та умов його розвитку й самореалізації; визначенням переліку ключових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фахівця, їх змісту, рівня і показників сформованості з урахуванням вітчизняного і зарубіжного досвіду [1]. Причинами орієнтації на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підхід в освіті є тенденція інтеграції і глобалізації світової економіки, необхідність гармонізації архітектури європейської системи вищої освіти, визначеної Болонським процесом, зміна освітньої парадигми, різноманітність поняттєвого змісту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терміна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«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підхід», вимоги державних освітніх стандартів. Загальними принципами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підходу є зміщення акцентів з накопичування нормативно визначених знань, умінь і навичок на формування й розвиток здатності практично діяти, застосовувати індивідуальні техніки і досвід успішних дій у ситуаціях професійної діяльності та соціальної практики [2]. 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За визначенням А. Хуторського, «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орієнтований підхід – підхід до організації освітнього процесу, спрямований на набуття особистістю певної суми знань і досвіду, що дають їй змогу робити висновки про щось, переконливо висловлювати власні думки, діяти адекватно у різних ситуаціях» [3, с. 61].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У роботі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Дж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. 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Равена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«Компетентність у сучасному суспільстві» [4], що з’явилася в Лондоні 1984 р., подано чи не найперше розгорнуте тлумачення компетентності. Дослідник визначає компетентність як явище, яке «складається з великої кількості компонентів, багато з яких відносно незалежні один від одного, … деякі компоненти належать швидше до когнітивної сфери, а інші – до емоційної, …ці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lastRenderedPageBreak/>
        <w:t xml:space="preserve">компоненти можуть заміняти один одного в якості складових ефективної поведінки» [4, с. 56]. Наукове значення досліджень Джона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Равена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полягає в тому, що він розглядає компетентність як специфічну здатність, яка необхідна для ефективного виконання конкретної дії в конкретній предметній галузі й містить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вузькопредметні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знання, особливого роду предметні навички, способи мислення. Крім того,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Дж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Равен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говорить про так звані «вищі компетентності», які незалежно від того, у якій предметній галузі виявляються, передбачають наявність у людини високого рівня ініціативи, здатності організовувати інших людей задля досягнення поставленої мети, готовність оцінювати й аналізувати соціальні наслідки своїх дій. 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Проте ще й сьогодні є плутанина в поняттях «компетентність» і «компетенція». У деяких наукових працях терміни «компетенція» і «компетентність» уживають як синоніми (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Дж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Равен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), в інших вони чітко розмежовані (В.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Краєвський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А. Хуторський). На думку Н. Нагорної, така невідповідність виникла внаслідок неточного перекладу рекомендацій Ради Європи, коли англійське «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сompetency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» помилково перекладалося як співзвучне «компетенція». Причиною цього є відповідність двох українських еквівалентів «компетенція» і «компетентність», одному англійському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сompetency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(е) [5, с. 266].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Термін «компетенція» передає двозначність поняття, що розглядається: з одного боку, це правомірність суб’єкта, а з іншого – його обізнаність із конкретних питань; відбиває як кількість, так і якість знань та умінь людини в певній сфері діяльності. 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Одним із перших популяризаторів термінів «компетенція», «компетентність» є Н. Хомський, який наполягав у своїх дослідженнях на розрізненні компетенції як знанні та компетентності як використання, застосування знань, умінь, навичок [6, с. 36].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Дослідниця І. Зимня пропонує два підходи до оцінювання понять «компетенція» та «компетентність». Для першого характерне ототожнення цих понять і навіть їх спільне використання у вигляді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терміна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«компетенції/компетентності» на позначення здатності робити що-небудь добре або ефективно, відповідати вимогам, що висуваються при влаштуванні на роботу, а також здатності виконувати особливі трудові функції. Другий підхід вирізняється прагненням до розмежування і навіть протиставлення цих понять [2, с. 36]. 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У Законі України «Про вищу освіту» компетентність трактується як динамічна комбінація знань, умінь і практичних навичок, способів мислення, професійних, світоглядних і громадянських якостей, морально-етичних цінностей, яка визначає здатність особи успішно здійснювати професійну та подальшу навчальну діяльність і є результатом навчання на певному рівні вищої освіти [7].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В авторських працях проаналізовано дослідження та виокремлено тенденції на ринку праці щодо затребуваних компетенцій [9;10; 11; 12].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lastRenderedPageBreak/>
        <w:t xml:space="preserve">Для того щоб сьогодні знайти своє місце на ринку праці людині необхідно мати низку спеціальних навичок і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: критичне мислення; дослідницькі навички і методи; креативність; комунікація; співробітництво [13].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У своєму дослідженні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Future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Work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Skills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2020 Інститут майбутнього виокремлює 10 важливих навичок для успіху в роботі майбутнього: розуміння смислів; соціальний інтелект; уміння мислити поза рамками і правилами, адаптивне мислення; міжкультурна компетентність; обчислювальне мислення;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медіаграмотність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;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міждисциплінарність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;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проєктне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мислення; управління інформацією; уміння працювати віддалено;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самомотивація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тайм-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менеджемент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в управлінні джерелами своїх доходів, управління онлайн-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рекрутингом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[14].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За прогнозом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World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Economic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Forum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серед найбільш затребуваних компетенцій до 2020 року будуть: уміння вирішувати складні завдання (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Complex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Problem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Solving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), критичне мислення, креативність, управління людьми, координація і взаємодія, емоційний інтелект, судження й прийняття рішень,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клієнтоорієнтованість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уміння вести переговори, когнітивна гнучкість [15].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17 січня 2018 року схвалено оновлену редакцію ключових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для навчання впродовж життя ― </w:t>
      </w:r>
      <w:hyperlink r:id="rId5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lang w:val="uk-UA" w:eastAsia="ru-RU"/>
          </w:rPr>
          <w:t>рекомендація 2018/0008 (NLE) Європейського Парламенту та Ради (ЄС)</w:t>
        </w:r>
      </w:hyperlink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До них відносять: науки, технологію, інженерію, математику; цифрову;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мовну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; особисту, соціальну, навчальну; грамотність; громадянську; культурну обізнаність та самовираження; підприємницьку [16].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Умови реалізації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підходу в освітньому процесі науковці визначають у такому контексті:</w:t>
      </w:r>
    </w:p>
    <w:p w:rsidR="00A67E19" w:rsidRPr="00A67E19" w:rsidRDefault="00A67E19" w:rsidP="00A67E19">
      <w:pPr>
        <w:numPr>
          <w:ilvl w:val="0"/>
          <w:numId w:val="2"/>
        </w:numPr>
        <w:shd w:val="clear" w:color="auto" w:fill="FFFFFF"/>
        <w:tabs>
          <w:tab w:val="left" w:pos="851"/>
        </w:tabs>
        <w:spacing w:after="0" w:line="276" w:lineRule="auto"/>
        <w:ind w:firstLine="567"/>
        <w:contextualSpacing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чітке усвідомлення учасниками освітнього процесу дидактичної специфіки поняття «компетентність»;</w:t>
      </w:r>
    </w:p>
    <w:p w:rsidR="00A67E19" w:rsidRPr="00A67E19" w:rsidRDefault="00A67E19" w:rsidP="00A67E19">
      <w:pPr>
        <w:numPr>
          <w:ilvl w:val="0"/>
          <w:numId w:val="2"/>
        </w:numPr>
        <w:shd w:val="clear" w:color="auto" w:fill="FFFFFF"/>
        <w:tabs>
          <w:tab w:val="left" w:pos="851"/>
        </w:tabs>
        <w:spacing w:after="0" w:line="276" w:lineRule="auto"/>
        <w:ind w:firstLine="567"/>
        <w:contextualSpacing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конкретизоване визначення вимог до кінцевого рівня сформованості базових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студентів та до основних етапів їх формування;</w:t>
      </w:r>
    </w:p>
    <w:p w:rsidR="00A67E19" w:rsidRPr="00A67E19" w:rsidRDefault="00A67E19" w:rsidP="00A67E19">
      <w:pPr>
        <w:numPr>
          <w:ilvl w:val="0"/>
          <w:numId w:val="2"/>
        </w:numPr>
        <w:shd w:val="clear" w:color="auto" w:fill="FFFFFF"/>
        <w:tabs>
          <w:tab w:val="left" w:pos="851"/>
        </w:tabs>
        <w:spacing w:after="0" w:line="276" w:lineRule="auto"/>
        <w:ind w:firstLine="567"/>
        <w:contextualSpacing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послідовність реалізації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підходу на різних етапах та рівнях формування змісту освіти [17, с. 53 – 54].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Сьогодні в освіті змінюються пріоритети. Для викладачів це перехід від передавання знань до створення умов для їх активного засвоєння та отримання досвіду; для учнів/студентів це перехід від пасивного засвоєння знань до активного їх пошуку, практичного осмислення; для керівництва навчальним закладом це зміни у використанні ресурсів закладу освіти, впровадження принципів сталості та демократизації в управління, налагодження діалогу із зацікавленими групами населення.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Професійна підготовка майбутніх фахівців у закладах професійної (професійно-технічної) освіти здійснюється відповідно Державного стандарту </w:t>
      </w:r>
      <w:hyperlink r:id="rId6" w:tooltip="Професійно-технічна освіта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lang w:val="uk-UA" w:eastAsia="ru-RU"/>
          </w:rPr>
          <w:t>професійно-технічної освіти</w:t>
        </w:r>
      </w:hyperlink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, який встановлює державні вимоги до змісту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lastRenderedPageBreak/>
        <w:t>професійно-технічної освіти, рівня професійної кваліфікації випускників закладів професійної (професійно-технічної) освіти, основних обов'язкових засобів навчання та освітнього рівня вступників до зазначених закладів.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У сфері професійної освіти учні набувають ключових,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загальнопрофесійних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та професійних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:</w:t>
      </w:r>
    </w:p>
    <w:p w:rsidR="00A67E19" w:rsidRPr="00A67E19" w:rsidRDefault="00A67E19" w:rsidP="00A67E19">
      <w:pPr>
        <w:shd w:val="clear" w:color="auto" w:fill="FFFFFF"/>
        <w:tabs>
          <w:tab w:val="left" w:pos="851"/>
        </w:tabs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ключові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– компетентності, необхідні для самореалізації, розвитку активної громадянської позиції, соціальної інклюзії та адаптації на ринку праці;</w:t>
      </w:r>
    </w:p>
    <w:p w:rsidR="00A67E19" w:rsidRPr="00A67E19" w:rsidRDefault="00A67E19" w:rsidP="00A67E19">
      <w:pPr>
        <w:shd w:val="clear" w:color="auto" w:fill="FFFFFF"/>
        <w:tabs>
          <w:tab w:val="left" w:pos="851"/>
        </w:tabs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загальнопрофесійні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– компетентності, що формують уявлення, опорні знання за певним професійним спрямуванням, створюють необхідне підґрунтя для здобуття особою професійних кваліфікацій;</w:t>
      </w:r>
    </w:p>
    <w:p w:rsidR="00A67E19" w:rsidRPr="00A67E19" w:rsidRDefault="00A67E19" w:rsidP="00A67E19">
      <w:pPr>
        <w:shd w:val="clear" w:color="auto" w:fill="FFFFFF"/>
        <w:tabs>
          <w:tab w:val="left" w:pos="851"/>
        </w:tabs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професійні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– компетентності, що дають змогу особі виконувати певні роботи або професійну діяльність [18].</w:t>
      </w:r>
    </w:p>
    <w:p w:rsidR="00A67E19" w:rsidRPr="00A67E19" w:rsidRDefault="00A67E19" w:rsidP="00A67E19">
      <w:pPr>
        <w:spacing w:after="0" w:line="240" w:lineRule="auto"/>
        <w:ind w:firstLine="425"/>
        <w:jc w:val="right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</w:pP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right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Таблиця 1</w:t>
      </w:r>
    </w:p>
    <w:p w:rsidR="00A67E19" w:rsidRPr="00A67E19" w:rsidRDefault="00A67E19" w:rsidP="00A67E19">
      <w:pPr>
        <w:shd w:val="clear" w:color="auto" w:fill="FFFFFF"/>
        <w:spacing w:after="0" w:line="276" w:lineRule="auto"/>
        <w:jc w:val="center"/>
        <w:textAlignment w:val="baseline"/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ru-RU"/>
        </w:rPr>
        <w:t>Компетентності професійної освіти</w:t>
      </w:r>
    </w:p>
    <w:tbl>
      <w:tblPr>
        <w:tblStyle w:val="a3"/>
        <w:tblW w:w="5000" w:type="pct"/>
        <w:tblLook w:val="04A0" w:firstRow="1" w:lastRow="0" w:firstColumn="1" w:lastColumn="0" w:noHBand="0" w:noVBand="1"/>
      </w:tblPr>
      <w:tblGrid>
        <w:gridCol w:w="4516"/>
        <w:gridCol w:w="5396"/>
      </w:tblGrid>
      <w:tr w:rsidR="00A67E19" w:rsidRPr="00A67E19" w:rsidTr="003055A2">
        <w:tc>
          <w:tcPr>
            <w:tcW w:w="2278" w:type="pct"/>
          </w:tcPr>
          <w:p w:rsidR="00A67E19" w:rsidRPr="00A67E19" w:rsidRDefault="00A67E19" w:rsidP="00A67E19">
            <w:pPr>
              <w:shd w:val="clear" w:color="auto" w:fill="FFFFFF"/>
              <w:spacing w:line="276" w:lineRule="auto"/>
              <w:jc w:val="center"/>
              <w:textAlignment w:val="baseline"/>
              <w:rPr>
                <w:rFonts w:ascii="Times New Roman" w:hAnsi="Times New Roman" w:cs="Times New Roman"/>
                <w:b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b/>
                <w:spacing w:val="-2"/>
                <w:sz w:val="28"/>
                <w:szCs w:val="28"/>
                <w:lang w:eastAsia="ru-RU"/>
              </w:rPr>
              <w:t>Ключові компетентності</w:t>
            </w:r>
          </w:p>
        </w:tc>
        <w:tc>
          <w:tcPr>
            <w:tcW w:w="2722" w:type="pct"/>
          </w:tcPr>
          <w:p w:rsidR="00A67E19" w:rsidRPr="00A67E19" w:rsidRDefault="00A67E19" w:rsidP="00A67E19">
            <w:pPr>
              <w:shd w:val="clear" w:color="auto" w:fill="FFFFFF"/>
              <w:spacing w:line="276" w:lineRule="auto"/>
              <w:jc w:val="center"/>
              <w:textAlignment w:val="baseline"/>
              <w:rPr>
                <w:rFonts w:ascii="Times New Roman" w:hAnsi="Times New Roman" w:cs="Times New Roman"/>
                <w:b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b/>
                <w:spacing w:val="-2"/>
                <w:sz w:val="28"/>
                <w:szCs w:val="28"/>
                <w:lang w:eastAsia="ru-RU"/>
              </w:rPr>
              <w:t>Професійні</w:t>
            </w:r>
          </w:p>
          <w:p w:rsidR="00A67E19" w:rsidRPr="00A67E19" w:rsidRDefault="00A67E19" w:rsidP="00A67E19">
            <w:pPr>
              <w:shd w:val="clear" w:color="auto" w:fill="FFFFFF"/>
              <w:spacing w:line="276" w:lineRule="auto"/>
              <w:jc w:val="center"/>
              <w:textAlignment w:val="baseline"/>
              <w:rPr>
                <w:rFonts w:ascii="Times New Roman" w:hAnsi="Times New Roman" w:cs="Times New Roman"/>
                <w:b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b/>
                <w:spacing w:val="-2"/>
                <w:sz w:val="28"/>
                <w:szCs w:val="28"/>
                <w:lang w:eastAsia="ru-RU"/>
              </w:rPr>
              <w:t>та загально-професійні компетентності</w:t>
            </w:r>
          </w:p>
        </w:tc>
      </w:tr>
      <w:tr w:rsidR="00A67E19" w:rsidRPr="00A67E19" w:rsidTr="003055A2">
        <w:tc>
          <w:tcPr>
            <w:tcW w:w="2278" w:type="pct"/>
          </w:tcPr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proofErr w:type="spellStart"/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Комунікативність</w:t>
            </w:r>
            <w:proofErr w:type="spellEnd"/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Професійна етика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Інформаційно-комунікаційні технології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Правова компетентність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Навчання впродовж життя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Підприємливість та фінансова грамотність</w:t>
            </w:r>
          </w:p>
        </w:tc>
        <w:tc>
          <w:tcPr>
            <w:tcW w:w="2722" w:type="pct"/>
          </w:tcPr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Професійні компетентності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Здатність працювати в команді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proofErr w:type="spellStart"/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Працеохоронна</w:t>
            </w:r>
            <w:proofErr w:type="spellEnd"/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 xml:space="preserve"> компетентність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proofErr w:type="spellStart"/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Енергозбережувальна</w:t>
            </w:r>
            <w:proofErr w:type="spellEnd"/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 xml:space="preserve"> компетентність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Екологічна компетентність</w:t>
            </w:r>
          </w:p>
          <w:p w:rsidR="00A67E19" w:rsidRPr="00A67E19" w:rsidRDefault="00A67E19" w:rsidP="00A67E19">
            <w:pPr>
              <w:shd w:val="clear" w:color="auto" w:fill="FFFFFF"/>
              <w:jc w:val="both"/>
              <w:textAlignment w:val="baseline"/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  <w:r w:rsidRPr="00A67E19">
              <w:rPr>
                <w:rFonts w:ascii="Times New Roman" w:hAnsi="Times New Roman" w:cs="Times New Roman"/>
                <w:spacing w:val="-2"/>
                <w:sz w:val="28"/>
                <w:szCs w:val="28"/>
                <w:lang w:eastAsia="ru-RU"/>
              </w:rPr>
              <w:t>Економічна компетентність</w:t>
            </w:r>
          </w:p>
        </w:tc>
      </w:tr>
    </w:tbl>
    <w:p w:rsidR="00A67E19" w:rsidRPr="00A67E19" w:rsidRDefault="00A67E19" w:rsidP="00A67E19">
      <w:pPr>
        <w:spacing w:after="200" w:line="276" w:lineRule="auto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br w:type="page"/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lastRenderedPageBreak/>
        <w:t xml:space="preserve">Щоб організувати ефективний розвиток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, важливо зрозуміти їх взаємовплив, визначити значущість кожної, послідовність їх розвитку, виділити предметні галузі, відповідальні за формування тих чи інших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, скласти моделі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на вході – виході та моделі розвитку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з урахуванням факторів їх формування. А про якість роботи закладу освіти можна судити за випускниками, їхньою успішністю в житті та кар'єрному зростанні. Сучасні освітні технології вимагають від викладачів аналізу кожного питання і кожного завдання з предмета, того які компетентності розвиває це завдання. Головним в організації навчання щодо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підходу є пошук і впровадження таких технологій навчання, де акцентується на самостійній і відповідальній навчальній діяльності самих учнів чи студентів, формуванні й розвитку необхідного набору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відповідно до стандарту освіти.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У Стандарті вищої освіти України за другим (магістерським) рівнем галузі знань – 01 − Освіта / Педагогіка, спеціальність – 015 − Професійна освіта визначено три блоки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компетентностей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якими повинен володіти випускник: інтегральна, загальні й спеціальні (фахові) компетентності [8].</w:t>
      </w:r>
    </w:p>
    <w:p w:rsidR="00A67E19" w:rsidRPr="00A67E19" w:rsidRDefault="00A67E19" w:rsidP="00A67E19">
      <w:pPr>
        <w:shd w:val="clear" w:color="auto" w:fill="FFFFFF"/>
        <w:spacing w:after="0" w:line="276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В умовах ринку праці система професійної освіти має бути досить гнучкою, щоб реагувати на зміни на ринку праці, наповнювати освітній процес сучасним змістом, формувати компетентності, актуальні вимогам часу.</w:t>
      </w:r>
    </w:p>
    <w:p w:rsidR="00A67E19" w:rsidRPr="00A67E19" w:rsidRDefault="00A67E19" w:rsidP="00A67E1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uk-UA"/>
        </w:rPr>
      </w:pPr>
      <w:r w:rsidRPr="00A67E19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uk-UA" w:eastAsia="uk-UA"/>
        </w:rPr>
        <w:t>Використана література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54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Антонова О. Є., Маслак Л П. Професійна педагогічна освіта: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підхід: монографія / за ред. О. А.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Дубасенюк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. – Житомир : Вид-во ЖДУ ім. І. Франка, 2011. С. 81―109.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54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Зимняя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И. А.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Ключевые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компетентности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как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результативно-целевая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основа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подхода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в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образовании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М. :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Исследовательский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центр проблем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качества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подготовки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специалистов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2004. 40 с.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426"/>
          <w:tab w:val="left" w:pos="126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Хуторской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А. В.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Ключевые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компетенции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как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компонент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личностно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noBreakHyphen/>
        <w:t>ориентированной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парадигмы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образования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</w:t>
      </w:r>
      <w:proofErr w:type="spellStart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Народное</w:t>
      </w:r>
      <w:proofErr w:type="spellEnd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образование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. 2003. № 2. С.58 – 64.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54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Равен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Дж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Компетентность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в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современном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обществе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: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выявление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,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развитие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и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реализация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М.: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Когито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-Центр, 2002. 396 с.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Нагорна Н. В. Формування у студентів понять компетентності й компетенції. </w:t>
      </w:r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Виховання і культура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. 2007. № 12. С. 266 – 268.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54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Хомский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Н.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Язык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и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мышление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М.: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Изд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-во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Моск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ун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-та, 1972.126 с.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Закон України «Про вищу освіту».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 xml:space="preserve">URL: </w:t>
      </w:r>
      <w:hyperlink r:id="rId7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http://zakon.rada.gov.ua/laws/show/1556-18</w:t>
        </w:r>
      </w:hyperlink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>.</w:t>
      </w:r>
    </w:p>
    <w:p w:rsidR="00A67E19" w:rsidRPr="00A67E19" w:rsidRDefault="00A67E19" w:rsidP="00A67E19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 w:eastAsia="uk-UA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  <w:t>Стандарт вищої освіти України. Другий (магістерський) рівень, галузь знань – 01 − Освіта / Педагогіка, спеціальність – 015 − Професійна освіта (за спеціалізаціями).</w:t>
      </w:r>
    </w:p>
    <w:p w:rsidR="00A67E19" w:rsidRPr="00A67E19" w:rsidRDefault="00A67E19" w:rsidP="00A67E19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contextualSpacing/>
        <w:jc w:val="both"/>
        <w:rPr>
          <w:rFonts w:ascii="Times New Roman" w:eastAsia="Calibri" w:hAnsi="Times New Roman" w:cs="Times New Roman"/>
          <w:spacing w:val="-2"/>
          <w:sz w:val="28"/>
          <w:szCs w:val="28"/>
          <w:lang w:val="uk-UA" w:eastAsia="uk-UA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uk-UA"/>
        </w:rPr>
        <w:t xml:space="preserve">Ковальчук В. І. Розвиток вищої освіти відповідно до тенденцій і вимог ринку праці. </w:t>
      </w:r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shd w:val="clear" w:color="auto" w:fill="FFFFFF"/>
          <w:lang w:val="uk-UA" w:eastAsia="uk-UA"/>
        </w:rPr>
        <w:t>Розвиток сучасної освіти: теорія, практика, інновації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uk-UA"/>
        </w:rPr>
        <w:t xml:space="preserve">: матеріали ІІ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uk-UA"/>
        </w:rPr>
        <w:lastRenderedPageBreak/>
        <w:t>Міжнародної науково-практичної конференції, 25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  <w:t xml:space="preserve"> –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uk-UA"/>
        </w:rPr>
        <w:t>26 лютого 2016 року. Київ: В-во «Міленіум», 2016. С. 22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uk-UA"/>
        </w:rPr>
        <w:t xml:space="preserve"> –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uk-UA"/>
        </w:rPr>
        <w:t>24.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num" w:pos="720"/>
          <w:tab w:val="num" w:pos="92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Ковальчук В. І. Тенденції розвитку освіти в епоху інформаційного суспільства. </w:t>
      </w:r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Стратегії інтенсифікації вищої гуманітарної освіти в Україні та країнах ЄС</w:t>
      </w:r>
      <w:r w:rsidRPr="00A67E19">
        <w:rPr>
          <w:rFonts w:ascii="Times New Roman" w:eastAsia="Calibri" w:hAnsi="Times New Roman" w:cs="Times New Roman"/>
          <w:i/>
          <w:spacing w:val="-2"/>
          <w:sz w:val="28"/>
          <w:szCs w:val="28"/>
          <w:lang w:val="uk-UA" w:eastAsia="ru-RU"/>
        </w:rPr>
        <w:t>:</w:t>
      </w:r>
      <w:r w:rsidRPr="00A67E19">
        <w:rPr>
          <w:rFonts w:ascii="Times New Roman" w:eastAsia="Calibri" w:hAnsi="Times New Roman" w:cs="Times New Roman"/>
          <w:spacing w:val="-2"/>
          <w:sz w:val="28"/>
          <w:szCs w:val="28"/>
          <w:lang w:val="uk-UA" w:eastAsia="ru-RU"/>
        </w:rPr>
        <w:t xml:space="preserve"> монографія / О. В. </w:t>
      </w:r>
      <w:proofErr w:type="spellStart"/>
      <w:r w:rsidRPr="00A67E19">
        <w:rPr>
          <w:rFonts w:ascii="Times New Roman" w:eastAsia="Calibri" w:hAnsi="Times New Roman" w:cs="Times New Roman"/>
          <w:spacing w:val="-2"/>
          <w:sz w:val="28"/>
          <w:szCs w:val="28"/>
          <w:lang w:val="uk-UA" w:eastAsia="ru-RU"/>
        </w:rPr>
        <w:t>Малихін</w:t>
      </w:r>
      <w:proofErr w:type="spellEnd"/>
      <w:r w:rsidRPr="00A67E19">
        <w:rPr>
          <w:rFonts w:ascii="Times New Roman" w:eastAsia="Calibri" w:hAnsi="Times New Roman" w:cs="Times New Roman"/>
          <w:spacing w:val="-2"/>
          <w:sz w:val="28"/>
          <w:szCs w:val="28"/>
          <w:lang w:val="uk-UA" w:eastAsia="ru-RU"/>
        </w:rPr>
        <w:t xml:space="preserve">, В. І. Ковальчук, Н. О. </w:t>
      </w:r>
      <w:proofErr w:type="spellStart"/>
      <w:r w:rsidRPr="00A67E19">
        <w:rPr>
          <w:rFonts w:ascii="Times New Roman" w:eastAsia="Calibri" w:hAnsi="Times New Roman" w:cs="Times New Roman"/>
          <w:spacing w:val="-2"/>
          <w:sz w:val="28"/>
          <w:szCs w:val="28"/>
          <w:lang w:val="uk-UA" w:eastAsia="ru-RU"/>
        </w:rPr>
        <w:t>Арістова</w:t>
      </w:r>
      <w:proofErr w:type="spellEnd"/>
      <w:r w:rsidRPr="00A67E19">
        <w:rPr>
          <w:rFonts w:ascii="Times New Roman" w:eastAsia="Calibri" w:hAnsi="Times New Roman" w:cs="Times New Roman"/>
          <w:spacing w:val="-2"/>
          <w:sz w:val="28"/>
          <w:szCs w:val="28"/>
          <w:lang w:val="uk-UA" w:eastAsia="ru-RU"/>
        </w:rPr>
        <w:t xml:space="preserve">, Р. А. Попов, І. С. Гриценко. Київ: НУБіП України, 2017. С.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7 – </w:t>
      </w:r>
      <w:r w:rsidRPr="00A67E19">
        <w:rPr>
          <w:rFonts w:ascii="Times New Roman" w:eastAsia="Calibri" w:hAnsi="Times New Roman" w:cs="Times New Roman"/>
          <w:spacing w:val="-2"/>
          <w:sz w:val="28"/>
          <w:szCs w:val="28"/>
          <w:lang w:val="uk-UA" w:eastAsia="ru-RU"/>
        </w:rPr>
        <w:t>1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34</w:t>
      </w:r>
      <w:r w:rsidRPr="00A67E19">
        <w:rPr>
          <w:rFonts w:ascii="Times New Roman" w:eastAsia="Calibri" w:hAnsi="Times New Roman" w:cs="Times New Roman"/>
          <w:spacing w:val="-2"/>
          <w:sz w:val="28"/>
          <w:szCs w:val="28"/>
          <w:lang w:val="uk-UA" w:eastAsia="ru-RU"/>
        </w:rPr>
        <w:t>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num" w:pos="720"/>
          <w:tab w:val="num" w:pos="92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Ковальчук В. І., Середа А. Ю. Формування в студентів навичок ХХІ століття у процесі професійної підготовки: збірник матеріалів Всеукраїнської науково-практичної конференції «Управління закладами освіти на засадах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акмеологічного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підходу» (16 березня 2018 р.). У 2 ч. Ч.1. Житомир: ФО-П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Левковець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, 2018. С. 224 – 230.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567"/>
          <w:tab w:val="num" w:pos="92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Kovalchuk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V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High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education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system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challenges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in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the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context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of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requirements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of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labour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market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and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society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</w:t>
      </w:r>
      <w:proofErr w:type="spellStart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 w:eastAsia="ru-RU"/>
        </w:rPr>
        <w:t>Scientiic</w:t>
      </w:r>
      <w:proofErr w:type="spellEnd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 w:eastAsia="ru-RU"/>
        </w:rPr>
        <w:t xml:space="preserve"> letters of academic society of Michal </w:t>
      </w:r>
      <w:proofErr w:type="spellStart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 w:eastAsia="ru-RU"/>
        </w:rPr>
        <w:t>Baludansky</w:t>
      </w:r>
      <w:proofErr w:type="spellEnd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 w:eastAsia="ru-RU"/>
        </w:rPr>
        <w:t>.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 xml:space="preserve"> 2016.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С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. 88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–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  <w:t>90.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Навыки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>XXI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века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.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>URL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: </w:t>
      </w:r>
      <w:hyperlink r:id="rId8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http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://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eclab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.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by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/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texts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/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article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/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navyki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xxi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veka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v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obrazovatelnoy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programme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eclab</w:t>
        </w:r>
        <w:proofErr w:type="spellEnd"/>
      </w:hyperlink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 xml:space="preserve">Goldman A. What skills will workers need to succeed in tomorrow's workplace? URL: </w:t>
      </w:r>
      <w:hyperlink r:id="rId9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http://www.iftf.org/future-now/article-detail/3-new-invaluable-work-skills-for-2018</w:t>
        </w:r>
      </w:hyperlink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Ананьева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 Т. 10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компетенций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которые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будут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>востребованы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 в 2020 году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>URL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 : </w:t>
      </w:r>
      <w:hyperlink r:id="rId10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http://hr-portal.ru/article/10-kompetenciy-kotorye-budut-vostrebovany-v-2020-godu</w:t>
        </w:r>
      </w:hyperlink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Ключові компетентності для навчання впродовж життя 2018.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 xml:space="preserve">URL: </w:t>
      </w:r>
      <w:hyperlink r:id="rId11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lang w:val="en-US" w:eastAsia="ru-RU"/>
          </w:rPr>
          <w:t>http://dystosvita.blogspot.pe/2018/01/2018.html</w:t>
        </w:r>
      </w:hyperlink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>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540"/>
          <w:tab w:val="left" w:pos="126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Бібік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Н. М.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Компетентнісний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 підхід: рефлексивний аналіз застосування. </w:t>
      </w:r>
      <w:proofErr w:type="spellStart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>Компетентнісний</w:t>
      </w:r>
      <w:proofErr w:type="spellEnd"/>
      <w:r w:rsidRPr="00A67E19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uk-UA" w:eastAsia="ru-RU"/>
        </w:rPr>
        <w:t xml:space="preserve"> підхід у сучасній освіті: світовий досвід та українські перспективи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/ під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заг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 xml:space="preserve">. ред. О.В. </w:t>
      </w:r>
      <w:proofErr w:type="spellStart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Овчарук</w:t>
      </w:r>
      <w:proofErr w:type="spellEnd"/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  <w:t>. К, 2004. 111 с.</w:t>
      </w:r>
    </w:p>
    <w:p w:rsidR="00A67E19" w:rsidRPr="00A67E19" w:rsidRDefault="00A67E19" w:rsidP="00A67E19">
      <w:pPr>
        <w:widowControl w:val="0"/>
        <w:numPr>
          <w:ilvl w:val="0"/>
          <w:numId w:val="1"/>
        </w:numPr>
        <w:tabs>
          <w:tab w:val="left" w:pos="284"/>
          <w:tab w:val="left" w:pos="540"/>
          <w:tab w:val="left" w:pos="1260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 w:eastAsia="ru-RU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Концептуальні засади реформування професійної освіти України. 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en-US" w:eastAsia="ru-RU"/>
        </w:rPr>
        <w:t>URL</w:t>
      </w: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shd w:val="clear" w:color="auto" w:fill="FFFFFF"/>
          <w:lang w:val="uk-UA" w:eastAsia="ru-RU"/>
        </w:rPr>
        <w:t xml:space="preserve">: </w:t>
      </w:r>
      <w:hyperlink r:id="rId12" w:history="1"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https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://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mon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.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gov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.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ua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/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ua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/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news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/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mon</w:t>
        </w:r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rozrobilo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proekt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konceptualnih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zasad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reformuvannya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profesijnoyi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osviti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ukrayini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suchasna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profesijna</w:t>
        </w:r>
        <w:proofErr w:type="spellEnd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uk-UA" w:eastAsia="ru-RU"/>
          </w:rPr>
          <w:t>-</w:t>
        </w:r>
        <w:proofErr w:type="spellStart"/>
        <w:r w:rsidRPr="00A67E19">
          <w:rPr>
            <w:rFonts w:ascii="Times New Roman" w:eastAsia="Times New Roman" w:hAnsi="Times New Roman" w:cs="Times New Roman"/>
            <w:spacing w:val="-2"/>
            <w:sz w:val="28"/>
            <w:szCs w:val="28"/>
            <w:shd w:val="clear" w:color="auto" w:fill="FFFFFF"/>
            <w:lang w:val="en-US" w:eastAsia="ru-RU"/>
          </w:rPr>
          <w:t>osvita</w:t>
        </w:r>
        <w:proofErr w:type="spellEnd"/>
      </w:hyperlink>
    </w:p>
    <w:p w:rsidR="00A67E19" w:rsidRPr="00A67E19" w:rsidRDefault="00A67E19" w:rsidP="00A67E19">
      <w:pPr>
        <w:spacing w:after="200" w:line="276" w:lineRule="auto"/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uk-UA"/>
        </w:rPr>
      </w:pPr>
      <w:r w:rsidRPr="00A67E19">
        <w:rPr>
          <w:rFonts w:ascii="Times New Roman" w:eastAsia="Times New Roman" w:hAnsi="Times New Roman" w:cs="Times New Roman"/>
          <w:spacing w:val="-2"/>
          <w:sz w:val="28"/>
          <w:szCs w:val="28"/>
          <w:lang w:val="en-US" w:eastAsia="uk-UA"/>
        </w:rPr>
        <w:br w:type="page"/>
      </w:r>
    </w:p>
    <w:p w:rsidR="00785C3F" w:rsidRPr="00A67E19" w:rsidRDefault="00785C3F">
      <w:pPr>
        <w:rPr>
          <w:lang w:val="en-US"/>
        </w:rPr>
      </w:pPr>
    </w:p>
    <w:sectPr w:rsidR="00785C3F" w:rsidRPr="00A67E19" w:rsidSect="00A67E19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A67AD9"/>
    <w:multiLevelType w:val="hybridMultilevel"/>
    <w:tmpl w:val="74C06686"/>
    <w:lvl w:ilvl="0" w:tplc="A8DC7BD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E910053"/>
    <w:multiLevelType w:val="hybridMultilevel"/>
    <w:tmpl w:val="5A10905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68FF"/>
    <w:rsid w:val="004454B1"/>
    <w:rsid w:val="005068FF"/>
    <w:rsid w:val="00785C3F"/>
    <w:rsid w:val="00A67E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C773B9"/>
  <w15:chartTrackingRefBased/>
  <w15:docId w15:val="{61D68DD7-7AD2-469E-8025-FC32170BB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67E19"/>
    <w:pPr>
      <w:spacing w:after="0" w:line="240" w:lineRule="auto"/>
    </w:pPr>
    <w:rPr>
      <w:rFonts w:eastAsia="Times New Roman"/>
      <w:lang w:val="uk-UA"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clab.by/texts/article/navyki-xxi-veka-v-obrazovatelnoy-programme-eclab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zakon.rada.gov.ua/laws/show/1556-18" TargetMode="External"/><Relationship Id="rId12" Type="http://schemas.openxmlformats.org/officeDocument/2006/relationships/hyperlink" Target="https://mon.gov.ua/ua/news/mon-rozrobilo-proekt-konceptualnih-zasad-reformuvannya-profesijnoyi-osviti-ukrayini-suchasna-profesijna-osvit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9F%D1%80%D0%BE%D1%84%D0%B5%D1%81%D1%96%D0%B9%D0%BD%D0%BE-%D1%82%D0%B5%D1%85%D0%BD%D1%96%D1%87%D0%BD%D0%B0_%D0%BE%D1%81%D0%B2%D1%96%D1%82%D0%B0" TargetMode="External"/><Relationship Id="rId11" Type="http://schemas.openxmlformats.org/officeDocument/2006/relationships/hyperlink" Target="http://dystosvita.blogspot.pe/2018/01/2018.html" TargetMode="External"/><Relationship Id="rId5" Type="http://schemas.openxmlformats.org/officeDocument/2006/relationships/hyperlink" Target="https://ec.europa.eu/education/sites/education/files/recommendation-key-competences-lifelong-learning.pdf" TargetMode="External"/><Relationship Id="rId10" Type="http://schemas.openxmlformats.org/officeDocument/2006/relationships/hyperlink" Target="http://hr-portal.ru/article/10-kompetenciy-kotorye-budut-vostrebovany-v-2020-god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iftf.org/future-now/article-detail/3-new-invaluable-work-skills-for-2018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2182</Words>
  <Characters>12440</Characters>
  <Application>Microsoft Office Word</Application>
  <DocSecurity>0</DocSecurity>
  <Lines>103</Lines>
  <Paragraphs>29</Paragraphs>
  <ScaleCrop>false</ScaleCrop>
  <Company>diakov.net</Company>
  <LinksUpToDate>false</LinksUpToDate>
  <CharactersWithSpaces>14593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3</cp:revision>
  <dcterms:created xsi:type="dcterms:W3CDTF">2021-05-29T19:55:00Z</dcterms:created>
  <dcterms:modified xsi:type="dcterms:W3CDTF">2021-05-31T11:01:00Z</dcterms:modified>
</cp:coreProperties>
</file>