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302A" w:rsidRDefault="00E2302A" w:rsidP="00E230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ПІДГОТОВКА МАЙБУТНІХ ФІЛОЛОГІВ </w:t>
      </w:r>
    </w:p>
    <w:p w:rsidR="00E2302A" w:rsidRDefault="00E2302A" w:rsidP="00E230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ДО РОБОТИ </w:t>
      </w:r>
    </w:p>
    <w:p w:rsidR="00E2302A" w:rsidRDefault="00E2302A" w:rsidP="00E230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З ДИДАКТИЧНИМ ТЕКСТОМ</w:t>
      </w:r>
    </w:p>
    <w:p w:rsidR="00E2302A" w:rsidRDefault="00E2302A" w:rsidP="00E2302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2302A" w:rsidRDefault="00E2302A" w:rsidP="00E2302A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lang w:val="uk-UA"/>
        </w:rPr>
      </w:pPr>
      <w:proofErr w:type="spellStart"/>
      <w:r>
        <w:rPr>
          <w:rFonts w:ascii="Times New Roman" w:hAnsi="Times New Roman" w:cs="Times New Roman"/>
          <w:i/>
          <w:sz w:val="24"/>
          <w:szCs w:val="24"/>
          <w:lang w:val="uk-UA"/>
        </w:rPr>
        <w:t>Каліш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uk-UA"/>
        </w:rPr>
        <w:t xml:space="preserve"> В. А.</w:t>
      </w:r>
    </w:p>
    <w:p w:rsidR="00E2302A" w:rsidRDefault="00E2302A" w:rsidP="00E2302A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E2302A" w:rsidRDefault="00E2302A" w:rsidP="00E2302A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lang w:val="uk-UA"/>
        </w:rPr>
      </w:pPr>
      <w:r>
        <w:rPr>
          <w:rFonts w:ascii="Times New Roman" w:hAnsi="Times New Roman" w:cs="Times New Roman"/>
          <w:i/>
          <w:sz w:val="24"/>
          <w:szCs w:val="24"/>
          <w:lang w:val="uk-UA"/>
        </w:rPr>
        <w:t xml:space="preserve">Глухівський національний педагогічний </w:t>
      </w:r>
    </w:p>
    <w:p w:rsidR="00E2302A" w:rsidRDefault="00E2302A" w:rsidP="00E2302A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lang w:val="uk-UA"/>
        </w:rPr>
      </w:pPr>
      <w:r>
        <w:rPr>
          <w:rFonts w:ascii="Times New Roman" w:hAnsi="Times New Roman" w:cs="Times New Roman"/>
          <w:i/>
          <w:sz w:val="24"/>
          <w:szCs w:val="24"/>
          <w:lang w:val="uk-UA"/>
        </w:rPr>
        <w:t>університет імені Олександра Довженка</w:t>
      </w:r>
    </w:p>
    <w:p w:rsidR="00E2302A" w:rsidRDefault="00E2302A" w:rsidP="00E230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E2302A" w:rsidRDefault="00E2302A" w:rsidP="00E2302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>
        <w:rPr>
          <w:rFonts w:ascii="Times New Roman" w:hAnsi="Times New Roman" w:cs="Times New Roman"/>
          <w:i/>
          <w:sz w:val="24"/>
          <w:szCs w:val="24"/>
          <w:lang w:val="uk-UA"/>
        </w:rPr>
        <w:t xml:space="preserve">У публікації обґрунтовано професійну необхідність оволодіння студентами текстологічними та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uk-UA"/>
        </w:rPr>
        <w:t>текстознавчими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uk-UA"/>
        </w:rPr>
        <w:t xml:space="preserve"> компетенціями, визначено сутність текстологічної компетентності, окреслено зміст кожного її складника.</w:t>
      </w:r>
    </w:p>
    <w:p w:rsidR="00E2302A" w:rsidRDefault="00E2302A" w:rsidP="00E230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E2302A" w:rsidRDefault="00E2302A" w:rsidP="00E230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Текстоцентричний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підхід як один із пріоритетних у сучасній системі</w:t>
      </w:r>
      <w:r>
        <w:rPr>
          <w:rFonts w:ascii="Times New Roman" w:hAnsi="Times New Roman" w:cs="Times New Roman"/>
          <w:lang w:val="uk-UA"/>
        </w:rPr>
        <w:t xml:space="preserve"> формування </w:t>
      </w:r>
      <w:proofErr w:type="spellStart"/>
      <w:r>
        <w:rPr>
          <w:rFonts w:ascii="Times New Roman" w:hAnsi="Times New Roman" w:cs="Times New Roman"/>
          <w:lang w:val="uk-UA"/>
        </w:rPr>
        <w:t>мовної</w:t>
      </w:r>
      <w:proofErr w:type="spellEnd"/>
      <w:r>
        <w:rPr>
          <w:rFonts w:ascii="Times New Roman" w:hAnsi="Times New Roman" w:cs="Times New Roman"/>
          <w:lang w:val="uk-UA"/>
        </w:rPr>
        <w:t xml:space="preserve">, лінгвістичної і комунікативної компетентності </w:t>
      </w:r>
      <w:r>
        <w:rPr>
          <w:rFonts w:ascii="Times New Roman" w:hAnsi="Times New Roman" w:cs="Times New Roman"/>
          <w:sz w:val="24"/>
          <w:szCs w:val="24"/>
          <w:lang w:val="uk-UA"/>
        </w:rPr>
        <w:t>школярів</w:t>
      </w:r>
      <w:r>
        <w:rPr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актуалізує проблему професійної текстологічної компетентності майбутнього учителя української мови і літератури.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Лінгвометодична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система формування означеної компетентності у вищому навчальному закладі спирається на за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uk-UA"/>
        </w:rPr>
        <w:t xml:space="preserve">гальнотеоретичні засади у галузі лінгвістики тексту, комунікативної, функціональної, когнітивної лінгвістики та психолінгвістики (Д.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Баранник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, М.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Бахтін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, Ф.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Бацевич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, М.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Брандес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, Л. Виготський, В. Виноградов, Н. Вовк, І.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Гальперін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, Б. Ельконін, О.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Єрофєєва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Т.Єщенко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, В. Жирмунський, А.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Загнітко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О.Залевська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І.Зимня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В. Карасик, М. Кожина, І.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Кочан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, О.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Кубрякова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Н.Купіна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, В. Лукин, Л. Мацько, В.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Різун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, О. Селіванова, Г.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Слишкін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, Г.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Солганик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, Т. Токарева та ін.), а також науково-практичні рекомендації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лінгводидактів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, зосібна Л. Бабенко, В.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Бадер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Л.Варзацької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М.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Вашуленка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, С.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Карамана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, К. Климової,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В.Мельничайка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, А.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Нікітіної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, С.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Омельчука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, Л. Паламар, М.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Пентилюк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В.Собко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, Т. Симоненко, С.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Цінько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, Г.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Шелехової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та ін.</w:t>
      </w:r>
    </w:p>
    <w:p w:rsidR="00E2302A" w:rsidRDefault="00E2302A" w:rsidP="00E230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Ключовим поняттям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лінгвометодичної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моделі текстологічної компетентності майбутніх учителів-філологів є текст як реальна одиниця спілкування, результат комунікативної діяльності, найвищий ярус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мовної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системи. У з’ясуванні сутності означеної лінгвістичної категорії виходимо із словникових дефініцій [4; 2; 3] та науково виважених тлумачень, поданих у працях зазначених теоретиків (Ф.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Бацевич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, І.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Гальперін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А.Загнітко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, О. Москальська, О. Пономарів та ін.), у яких найповніше розкриваються призначення тексту як одиниці, його структура, типи зв’язку та засоби їх вираження, жанрові, стилістичні особливості, способи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мовної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репрезентації тощо.</w:t>
      </w:r>
      <w:r>
        <w:rPr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При цьому зауважимо, що у моделюванні системи формування текстологічної компетентності (визначення основних компетенцій, відбір лінгвістичних понять, структурування змісту теоретичного матеріалу і реалізація його у робочих навчальних програмах нормативних та спеціальних курсів,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вибудова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системи вправ і завдань, організація науково-дослідницької діяльності тощо) ураховуємо насамперед різні підходи до інтерпретації тексту у науці, зокрема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лінгвоцентричний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текстоцентричний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антропоцентричний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та когнітивний [ 2 ].</w:t>
      </w:r>
    </w:p>
    <w:p w:rsidR="00E2302A" w:rsidRDefault="00E2302A" w:rsidP="00E230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Дидактичний текст в аспекті нашого дослідження розглядаємо і як об’єкт навчання, і як ефективний засіб реалізації лінгвістичної, комунікативно-діяльнісної і культурологічної складових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мовної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освіти особистості. Дидактичному тексту властиві усі визначальні риси тексту в цілому, що і зумовлює важливість текстологічної компетентності як складової загальної професійної підготовки майбутнього учителя-філолога.</w:t>
      </w:r>
    </w:p>
    <w:p w:rsidR="00E2302A" w:rsidRDefault="00E2302A" w:rsidP="00E230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Орієнтуючись на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текстознавчі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та текстологічні вимоги, визначені у програмі для загальноосвітньої школи [ 5 ], під текстологічною компетентністю розуміємо систему сформованих у процесі навчання у педагогічному ВНЗ наукових поглядів і переконань, стійких знань про текст, практичних умінь і навичок його аналізу за всіма параметрами, продукування і розуміння висловлювань різних типів, стилів і жанрів відповідно до комунікативної мети та з урахуванням ситуації спілкування, а також готовність </w:t>
      </w:r>
      <w:r>
        <w:rPr>
          <w:rFonts w:ascii="Times New Roman" w:hAnsi="Times New Roman" w:cs="Times New Roman"/>
          <w:sz w:val="24"/>
          <w:szCs w:val="24"/>
          <w:lang w:val="uk-UA"/>
        </w:rPr>
        <w:lastRenderedPageBreak/>
        <w:t xml:space="preserve">майбутнього вчителя-словесника у подальшій професійній діяльності добирати дидактичні тексти для роботи з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мовними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явищами різних рівнів і реалізації виховної мети. </w:t>
      </w:r>
    </w:p>
    <w:p w:rsidR="00E2302A" w:rsidRDefault="00E2302A" w:rsidP="00E230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Виходячи з наведеної дефініції досліджуваної компетентності, визначаємо такі її важливі складові: 1) текстологічні та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текстознавчі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знання; 2)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професійно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значущі для словесника уміння і навички аналізувати готові тексти; 3) опанування одиницями і категоріями різних рівнів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мовної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структури, здійснення лінгвістичного аналізу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мовних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явищ на основі пропонованих текстів; 4) продукування власних висловлювань; 5)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лінгвометодичні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уміння, які передусім охоплюють добір текстів для організації навчальної діяльності школярів на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уроках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мови залежно від лінгвістичної теми та виховної мети.</w:t>
      </w:r>
    </w:p>
    <w:p w:rsidR="00E2302A" w:rsidRDefault="00E2302A" w:rsidP="00E230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Перша складова передбачає оволодіння студентами такими знаннями: наукові підходи у трактуванні тексту і його характеристика як наукового поняття; усвідомлення тексту як багатоаспектного лінгвістичного явища, у якому реалізуються структурно-семантичні та функціональні особливості одиниць і явищ усіх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мовних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рівнів; засвоєння змісту розглядуваної категорії відповідно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лінгвоцентричного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, когнітивного,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текстоцентричного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антропоцентричного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аспектів її вивчення; знання семантико-структурної організації тексту; відповідності його структури темі та основній думці,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вербалізованій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інформації, умовам спілкування, завданням та обраному стилю викладу; свідоме засвоєння основних властивостей тексту; його відмінність від тематично і семантично пов’язаних окремих речень; опанування специфіки типів мовлення, репрезентованих у тексті – опису, розповіді, міркування; розуміння спільних і відмінних властивостей тексту й інших одиниць – складного синтаксичного цілого, абзацу, а також дискурсу, речення, висловлювання, концепту; опанування структурою тексту, його категоріями, типами зв’язку і засобами їх вираження, передусім лексичними (повтори слів, синоніми, спільнокореневі слова, займенники, прислівники тощо), граматичними (сполучники, вставні слова, неповні й риторичні речення тощо),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ритмо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-мелодійними засобами та ін.</w:t>
      </w:r>
    </w:p>
    <w:p w:rsidR="00E2302A" w:rsidRDefault="00E2302A" w:rsidP="00E2302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Професійно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значущими є знання текстотвірних закономірностей, властивих текстам різних типів, жанрів і стилів, їх функції у процесі комунікації та когнітивній діяльності тощо.</w:t>
      </w:r>
    </w:p>
    <w:p w:rsidR="00E2302A" w:rsidRDefault="00E2302A" w:rsidP="00E2302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Відповідно до другої складової майбутні фахівці повинні уміти визначати тему, головну думку, структуру тексту; розрізняти тексти за стильовими і жанровими ознаками, комунікативним призначенням; встановлювати тип тексту за характером зв’язку та аналізувати засоби зв’язку; оцінювати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мовне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оформлення тексту відповідно до теми, відображеної інформації, умов і завдання спілкування та обраного стилю викладу тощо.</w:t>
      </w:r>
    </w:p>
    <w:p w:rsidR="00E2302A" w:rsidRDefault="00E2302A" w:rsidP="00E2302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Здійснення лінгвістичного аналізу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мовних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явищ різних рівнів на основі пропонованих текстів забезпечується системою вправ, спрямованих на розпізнавання, виокремлення, розрізнення, лінгвістичну характеристику виучуваних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мовних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явищ, обґрунтування доцільності їх уживання у відповідних текстах тощо. </w:t>
      </w:r>
    </w:p>
    <w:p w:rsidR="00E2302A" w:rsidRDefault="00E2302A" w:rsidP="00E2302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Вправи на добір, вибір, заміну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мовних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засобів, продовження тексту за поданим початком, завершення тексту, перебудова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логічно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неправильно розташованих складових частин, продукування текстів із відповідним типом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зв’язків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, засобами вираження, на пропоновану тему, стиль, тип та інші забезпечують реалізацію третьої складової.</w:t>
      </w:r>
    </w:p>
    <w:p w:rsidR="00E2302A" w:rsidRDefault="00E2302A" w:rsidP="00E230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Засвоєння змісту попередньо зазначених складників досліджуваної компетентності уможливлює формування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професійно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значущих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лінгвометодичних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умінь і навичок майбутніх філологів, зокрема добирати тексти для організації навчальної діяльності з урахуванням вікових особливостей школярів, їх уподобань, креативності тощо, і, звичайно ж, відповідно до навчального матеріалу та дидактичної і виховної мети.</w:t>
      </w:r>
    </w:p>
    <w:p w:rsidR="00E2302A" w:rsidRDefault="00E2302A" w:rsidP="00E230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Отже, текстологічна компетентність є важливою складовою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професіограми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вчителя-словесника, реалізація  кожного її компонента забезпечить її формування в умовах ВНЗ. </w:t>
      </w:r>
    </w:p>
    <w:p w:rsidR="00E2302A" w:rsidRDefault="00E2302A" w:rsidP="00E23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E2302A" w:rsidRDefault="00E2302A" w:rsidP="00E230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Література</w:t>
      </w:r>
    </w:p>
    <w:p w:rsidR="00E2302A" w:rsidRDefault="00E2302A" w:rsidP="00E2302A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lastRenderedPageBreak/>
        <w:t>Бабенко Л. Г.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Лингвистический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анализ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художественного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текста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Теория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и практика : [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учебник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; практикум] / Л. Г. Бабенко, Ю.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В.Казарин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. – М. :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Флинта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: Наука, 2003. – 496 с.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2.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Селіванова О</w:t>
      </w:r>
      <w:r>
        <w:rPr>
          <w:rFonts w:ascii="Times New Roman" w:hAnsi="Times New Roman" w:cs="Times New Roman"/>
          <w:sz w:val="24"/>
          <w:szCs w:val="24"/>
          <w:lang w:val="uk-UA"/>
        </w:rPr>
        <w:t>. Сучасна лінгвістика: [термінологічна енциклопедія] / Олена Селіванова – Полтава : Довкілля, 2006. – 716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с.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3. Словник</w:t>
      </w:r>
      <w:r>
        <w:rPr>
          <w:rFonts w:ascii="Times New Roman" w:hAnsi="Times New Roman" w:cs="Times New Roman"/>
          <w:sz w:val="24"/>
          <w:szCs w:val="24"/>
          <w:lang w:val="uk-UA"/>
        </w:rPr>
        <w:t>-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довідник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з української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лінгводидактики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[за загальною редакцією проф. М.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Пентилюк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]. – К. :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Ленвіт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, 2003. – С. 123.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4. Українська мова</w:t>
      </w:r>
      <w:r>
        <w:rPr>
          <w:rFonts w:ascii="Times New Roman" w:hAnsi="Times New Roman" w:cs="Times New Roman"/>
          <w:sz w:val="24"/>
          <w:szCs w:val="24"/>
          <w:lang w:val="uk-UA"/>
        </w:rPr>
        <w:t>: енциклопедія / [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редкол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. : В. М.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Русанівський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, О.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О.Тараненко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та ін.] – К. : “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Укр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енцикл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.”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ім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..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М.П.Бажана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, 2000. – 752 с.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5. Українська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мова.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5-12 класи : програма для загальноосвітніх закладів. – К.: Перун, 2005. – 176 с. </w:t>
      </w:r>
    </w:p>
    <w:sectPr w:rsidR="00E230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8955F1"/>
    <w:multiLevelType w:val="hybridMultilevel"/>
    <w:tmpl w:val="D77404D6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790"/>
        </w:tabs>
        <w:ind w:left="179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510"/>
        </w:tabs>
        <w:ind w:left="2510" w:hanging="360"/>
      </w:pPr>
    </w:lvl>
    <w:lvl w:ilvl="3" w:tplc="0419000F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950"/>
        </w:tabs>
        <w:ind w:left="395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670"/>
        </w:tabs>
        <w:ind w:left="467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90019">
      <w:start w:val="1"/>
      <w:numFmt w:val="decimal"/>
      <w:lvlText w:val="%8."/>
      <w:lvlJc w:val="left"/>
      <w:pPr>
        <w:tabs>
          <w:tab w:val="num" w:pos="6110"/>
        </w:tabs>
        <w:ind w:left="611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830"/>
        </w:tabs>
        <w:ind w:left="683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4C8"/>
    <w:rsid w:val="002365DA"/>
    <w:rsid w:val="007E1CEC"/>
    <w:rsid w:val="008E570F"/>
    <w:rsid w:val="009C4586"/>
    <w:rsid w:val="00A25527"/>
    <w:rsid w:val="00AB0031"/>
    <w:rsid w:val="00B154C8"/>
    <w:rsid w:val="00E2302A"/>
    <w:rsid w:val="00EA2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CAE9DA-69E4-41D3-A4AA-ABA5A9BAC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302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30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033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1197</Words>
  <Characters>6827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2019-03-20T09:44:00Z</dcterms:created>
  <dcterms:modified xsi:type="dcterms:W3CDTF">2019-03-20T10:17:00Z</dcterms:modified>
</cp:coreProperties>
</file>